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AB1" w:rsidRPr="007D68F2" w:rsidRDefault="000C4AB1" w:rsidP="000C4AB1">
      <w:pPr>
        <w:jc w:val="center"/>
        <w:rPr>
          <w:rFonts w:ascii="Arial Narrow" w:hAnsi="Arial Narrow"/>
          <w:b/>
          <w:sz w:val="36"/>
          <w:szCs w:val="36"/>
        </w:rPr>
      </w:pPr>
      <w:r w:rsidRPr="007D68F2">
        <w:rPr>
          <w:rFonts w:ascii="Arial Narrow" w:hAnsi="Arial Narrow"/>
          <w:b/>
          <w:sz w:val="36"/>
          <w:szCs w:val="36"/>
        </w:rPr>
        <w:t>Apportioning Impacts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34"/>
      </w:tblGrid>
      <w:tr w:rsidR="000C4AB1" w:rsidRPr="007D68F2" w:rsidTr="0047683B">
        <w:tc>
          <w:tcPr>
            <w:tcW w:w="9134" w:type="dxa"/>
            <w:shd w:val="clear" w:color="auto" w:fill="95B3D7"/>
          </w:tcPr>
          <w:p w:rsidR="000C4AB1" w:rsidRPr="00BA1FAA" w:rsidRDefault="000C4AB1" w:rsidP="0047683B">
            <w:pPr>
              <w:spacing w:after="0" w:line="240" w:lineRule="auto"/>
              <w:jc w:val="center"/>
              <w:rPr>
                <w:rFonts w:ascii="Arial Narrow" w:hAnsi="Arial Narrow"/>
                <w:b/>
                <w:i/>
                <w:sz w:val="24"/>
                <w:szCs w:val="24"/>
              </w:rPr>
            </w:pPr>
            <w:r w:rsidRPr="00BA1FAA">
              <w:rPr>
                <w:rFonts w:ascii="Arial Narrow" w:hAnsi="Arial Narrow"/>
                <w:b/>
                <w:i/>
                <w:sz w:val="24"/>
                <w:szCs w:val="24"/>
              </w:rPr>
              <w:t>Apportioning impacts is allocating impact shares to different public sector funding bodies that are contributing to the costs of an intervention.</w:t>
            </w:r>
          </w:p>
        </w:tc>
      </w:tr>
    </w:tbl>
    <w:p w:rsidR="000C4AB1" w:rsidRPr="007D68F2" w:rsidRDefault="000C4AB1" w:rsidP="000C4AB1">
      <w:pPr>
        <w:pStyle w:val="ListParagraph"/>
        <w:ind w:left="360"/>
        <w:jc w:val="both"/>
        <w:rPr>
          <w:rFonts w:ascii="Arial Narrow" w:hAnsi="Arial Narrow"/>
          <w:b/>
          <w:sz w:val="28"/>
          <w:szCs w:val="28"/>
        </w:rPr>
      </w:pPr>
    </w:p>
    <w:p w:rsidR="000C4AB1" w:rsidRPr="007D68F2" w:rsidRDefault="000C4AB1" w:rsidP="000C4AB1">
      <w:pPr>
        <w:pStyle w:val="ListParagraph"/>
        <w:ind w:left="0"/>
        <w:jc w:val="both"/>
        <w:rPr>
          <w:rFonts w:ascii="Arial Narrow" w:hAnsi="Arial Narrow"/>
        </w:rPr>
      </w:pPr>
      <w:r w:rsidRPr="007D68F2">
        <w:rPr>
          <w:rFonts w:ascii="Arial Narrow" w:hAnsi="Arial Narrow"/>
          <w:b/>
          <w:sz w:val="28"/>
          <w:szCs w:val="28"/>
        </w:rPr>
        <w:t>Why is it important?</w:t>
      </w:r>
    </w:p>
    <w:p w:rsidR="000C4AB1" w:rsidRPr="00A55B7E" w:rsidRDefault="000C4AB1" w:rsidP="000C4AB1">
      <w:pPr>
        <w:jc w:val="both"/>
        <w:rPr>
          <w:rFonts w:ascii="Arial Narrow" w:hAnsi="Arial Narrow"/>
          <w:sz w:val="24"/>
          <w:szCs w:val="24"/>
        </w:rPr>
      </w:pPr>
      <w:r w:rsidRPr="00A55B7E">
        <w:rPr>
          <w:rFonts w:ascii="Arial Narrow" w:hAnsi="Arial Narrow"/>
          <w:sz w:val="24"/>
          <w:szCs w:val="24"/>
        </w:rPr>
        <w:t>Appraisals and evaluations can sometimes be required to identify the shares of impacts that are attributable to different public sector funders who may be contributing towards t</w:t>
      </w:r>
      <w:r w:rsidR="0047683B" w:rsidRPr="00A55B7E">
        <w:rPr>
          <w:rFonts w:ascii="Arial Narrow" w:hAnsi="Arial Narrow"/>
          <w:sz w:val="24"/>
          <w:szCs w:val="24"/>
        </w:rPr>
        <w:t xml:space="preserve">he costs of an intervention.  </w:t>
      </w:r>
      <w:r w:rsidRPr="00A55B7E">
        <w:rPr>
          <w:rFonts w:ascii="Arial Narrow" w:hAnsi="Arial Narrow"/>
          <w:sz w:val="24"/>
          <w:szCs w:val="24"/>
        </w:rPr>
        <w:t>This is becoming increasingly common as partnership working grows so that many interventions now attract a cocktail of funding.  This highlights the importance of having a standard apportioning approach as otherwise all funders may claim that they were responsible for the impacts arising from an intervention, resulting in double (or even greater) counting of impacts.</w:t>
      </w:r>
    </w:p>
    <w:p w:rsidR="000C4AB1" w:rsidRPr="007D68F2" w:rsidRDefault="000C4AB1" w:rsidP="000C4AB1">
      <w:pPr>
        <w:pStyle w:val="ListParagraph"/>
        <w:ind w:left="0"/>
        <w:jc w:val="both"/>
        <w:rPr>
          <w:rFonts w:ascii="Arial Narrow" w:hAnsi="Arial Narrow"/>
        </w:rPr>
      </w:pPr>
      <w:r w:rsidRPr="007D68F2">
        <w:rPr>
          <w:rFonts w:ascii="Arial Narrow" w:hAnsi="Arial Narrow"/>
          <w:b/>
          <w:sz w:val="28"/>
          <w:szCs w:val="28"/>
        </w:rPr>
        <w:t>When do we need to apportion impacts?</w:t>
      </w:r>
    </w:p>
    <w:p w:rsidR="000C4AB1" w:rsidRPr="007D68F2" w:rsidRDefault="000C4AB1" w:rsidP="000C4AB1">
      <w:pPr>
        <w:jc w:val="both"/>
        <w:rPr>
          <w:rFonts w:ascii="Arial Narrow" w:hAnsi="Arial Narrow"/>
          <w:b/>
          <w:sz w:val="28"/>
          <w:szCs w:val="28"/>
        </w:rPr>
      </w:pPr>
      <w:r w:rsidRPr="007D68F2">
        <w:rPr>
          <w:rFonts w:ascii="Arial Narrow" w:hAnsi="Arial Narrow"/>
          <w:sz w:val="24"/>
          <w:szCs w:val="24"/>
        </w:rPr>
        <w:t>Generally impacts will be apportioned after the net impacts of an intervention have been calculated as part of either the appraisal or evaluation process.</w:t>
      </w:r>
    </w:p>
    <w:p w:rsidR="000C4AB1" w:rsidRPr="007D68F2" w:rsidRDefault="000C4AB1" w:rsidP="000C4AB1">
      <w:pPr>
        <w:jc w:val="both"/>
        <w:rPr>
          <w:rFonts w:ascii="Arial Narrow" w:hAnsi="Arial Narrow"/>
          <w:b/>
          <w:sz w:val="28"/>
          <w:szCs w:val="28"/>
        </w:rPr>
      </w:pPr>
      <w:r w:rsidRPr="007D68F2">
        <w:rPr>
          <w:rFonts w:ascii="Arial Narrow" w:hAnsi="Arial Narrow"/>
          <w:b/>
          <w:sz w:val="28"/>
          <w:szCs w:val="28"/>
        </w:rPr>
        <w:t>How do you apportion impacts?</w:t>
      </w:r>
      <w:r w:rsidRPr="007D68F2">
        <w:rPr>
          <w:rFonts w:ascii="Arial Narrow" w:hAnsi="Arial Narrow"/>
          <w:sz w:val="24"/>
          <w:szCs w:val="24"/>
        </w:rPr>
        <w:t xml:space="preserve"> </w:t>
      </w:r>
    </w:p>
    <w:p w:rsidR="000C4AB1" w:rsidRPr="007D68F2" w:rsidRDefault="000C4AB1" w:rsidP="000C4AB1">
      <w:pPr>
        <w:jc w:val="both"/>
        <w:rPr>
          <w:rFonts w:ascii="Arial Narrow" w:hAnsi="Arial Narrow"/>
          <w:sz w:val="24"/>
          <w:szCs w:val="24"/>
        </w:rPr>
      </w:pPr>
      <w:r w:rsidRPr="007D68F2">
        <w:rPr>
          <w:rFonts w:ascii="Arial Narrow" w:hAnsi="Arial Narrow"/>
          <w:sz w:val="24"/>
          <w:szCs w:val="24"/>
        </w:rPr>
        <w:t xml:space="preserve">For projects involving a number of </w:t>
      </w:r>
      <w:r w:rsidRPr="007D68F2">
        <w:rPr>
          <w:rFonts w:ascii="Arial Narrow" w:hAnsi="Arial Narrow"/>
          <w:b/>
          <w:sz w:val="24"/>
          <w:szCs w:val="24"/>
        </w:rPr>
        <w:t>public sector</w:t>
      </w:r>
      <w:r w:rsidRPr="007D68F2">
        <w:rPr>
          <w:rFonts w:ascii="Arial Narrow" w:hAnsi="Arial Narrow"/>
          <w:sz w:val="24"/>
          <w:szCs w:val="24"/>
        </w:rPr>
        <w:t xml:space="preserve"> </w:t>
      </w:r>
      <w:r w:rsidRPr="007D68F2">
        <w:rPr>
          <w:rFonts w:ascii="Arial Narrow" w:hAnsi="Arial Narrow"/>
          <w:b/>
          <w:sz w:val="24"/>
          <w:szCs w:val="24"/>
        </w:rPr>
        <w:t>funding partners</w:t>
      </w:r>
      <w:r w:rsidRPr="007D68F2">
        <w:rPr>
          <w:rFonts w:ascii="Arial Narrow" w:hAnsi="Arial Narrow"/>
          <w:sz w:val="24"/>
          <w:szCs w:val="24"/>
        </w:rPr>
        <w:t xml:space="preserve"> the required approach is to apportion impacts to the funders on the basis of the proportion of total project costs that they are meeting. For example, if one partner contributes 30% of the costs then it should “claim” 30% of the impacts. Given that these costs may be incurred by different partners over different time periods then costs should be expressed in constant prices to ensure that there is consistent treatment.</w:t>
      </w:r>
      <w:r>
        <w:rPr>
          <w:rFonts w:ascii="Arial Narrow" w:hAnsi="Arial Narrow"/>
          <w:sz w:val="24"/>
          <w:szCs w:val="24"/>
        </w:rPr>
        <w:t xml:space="preserve"> </w:t>
      </w:r>
      <w:r w:rsidRPr="007D68F2">
        <w:rPr>
          <w:rFonts w:ascii="Arial Narrow" w:hAnsi="Arial Narrow"/>
          <w:sz w:val="24"/>
          <w:szCs w:val="24"/>
        </w:rPr>
        <w:t>Appendix 1 gives a worked example.</w:t>
      </w:r>
    </w:p>
    <w:p w:rsidR="000C4AB1" w:rsidRPr="007D68F2" w:rsidRDefault="000C4AB1" w:rsidP="000C4AB1">
      <w:pPr>
        <w:jc w:val="both"/>
        <w:rPr>
          <w:rFonts w:ascii="Arial Narrow" w:hAnsi="Arial Narrow"/>
          <w:b/>
          <w:sz w:val="24"/>
          <w:szCs w:val="24"/>
        </w:rPr>
      </w:pPr>
      <w:r w:rsidRPr="00A55B7E">
        <w:rPr>
          <w:rFonts w:ascii="Arial Narrow" w:hAnsi="Arial Narrow"/>
          <w:b/>
          <w:sz w:val="24"/>
          <w:szCs w:val="24"/>
        </w:rPr>
        <w:t xml:space="preserve">Apportioning Impacts to interventions that are part of a wider support package. </w:t>
      </w:r>
      <w:r w:rsidRPr="00A55B7E">
        <w:rPr>
          <w:rFonts w:ascii="Arial Narrow" w:hAnsi="Arial Narrow"/>
          <w:sz w:val="24"/>
          <w:szCs w:val="24"/>
        </w:rPr>
        <w:t>There can often be a desire to apportion impacts to individual interventions that are part of a wider package of support. For example, account managed companies are often supported with a wide range of interventions, all of which are intended to help the company grow. Generally this should not be done. The evidence from a variety of evaluations has found that it tends to be the totality of support that drives impacts rather than individual interventions. Thus to apportion impacts to an intervention based, for example, on the proportion of total support funding it receives, may give misleading results</w:t>
      </w:r>
      <w:r w:rsidRPr="007D68F2">
        <w:rPr>
          <w:rFonts w:ascii="Arial Narrow" w:hAnsi="Arial Narrow"/>
        </w:rPr>
        <w:t>.</w:t>
      </w:r>
    </w:p>
    <w:p w:rsidR="000C4AB1" w:rsidRPr="007D68F2" w:rsidRDefault="000C4AB1" w:rsidP="000C4AB1">
      <w:pPr>
        <w:jc w:val="both"/>
        <w:rPr>
          <w:rFonts w:ascii="Arial Narrow" w:hAnsi="Arial Narrow"/>
          <w:b/>
          <w:sz w:val="28"/>
          <w:szCs w:val="28"/>
        </w:rPr>
      </w:pPr>
      <w:r w:rsidRPr="007D68F2">
        <w:rPr>
          <w:rFonts w:ascii="Arial Narrow" w:hAnsi="Arial Narrow"/>
          <w:b/>
          <w:sz w:val="28"/>
          <w:szCs w:val="28"/>
        </w:rPr>
        <w:t>Need more help?</w:t>
      </w:r>
    </w:p>
    <w:p w:rsidR="000C4AB1" w:rsidRPr="007D68F2" w:rsidRDefault="000C4AB1" w:rsidP="000C4AB1">
      <w:pPr>
        <w:jc w:val="both"/>
        <w:rPr>
          <w:rFonts w:ascii="Arial Narrow" w:hAnsi="Arial Narrow"/>
          <w:sz w:val="24"/>
          <w:szCs w:val="24"/>
        </w:rPr>
      </w:pPr>
      <w:r w:rsidRPr="007D68F2">
        <w:rPr>
          <w:rFonts w:ascii="Arial Narrow" w:hAnsi="Arial Narrow"/>
          <w:sz w:val="24"/>
          <w:szCs w:val="24"/>
        </w:rPr>
        <w:t>For further information contact:-</w:t>
      </w:r>
    </w:p>
    <w:p w:rsidR="000C4AB1" w:rsidRPr="007D68F2" w:rsidRDefault="000C4AB1" w:rsidP="000C4AB1">
      <w:pPr>
        <w:jc w:val="both"/>
        <w:rPr>
          <w:rFonts w:ascii="Arial Narrow" w:hAnsi="Arial Narrow"/>
          <w:sz w:val="24"/>
          <w:szCs w:val="24"/>
        </w:rPr>
      </w:pPr>
      <w:r w:rsidRPr="007D68F2">
        <w:rPr>
          <w:rFonts w:ascii="Arial Narrow" w:hAnsi="Arial Narrow"/>
          <w:sz w:val="24"/>
          <w:szCs w:val="24"/>
        </w:rPr>
        <w:t>Suzanne Fleming, 0141-228-2062</w:t>
      </w:r>
    </w:p>
    <w:p w:rsidR="000C4AB1" w:rsidRPr="007D68F2" w:rsidRDefault="00E54A7E" w:rsidP="000C4AB1">
      <w:pPr>
        <w:jc w:val="both"/>
        <w:rPr>
          <w:rFonts w:ascii="Arial Narrow" w:hAnsi="Arial Narrow"/>
          <w:sz w:val="24"/>
          <w:szCs w:val="24"/>
        </w:rPr>
      </w:pPr>
      <w:hyperlink r:id="rId7" w:history="1">
        <w:r w:rsidR="000C4AB1" w:rsidRPr="007D68F2">
          <w:rPr>
            <w:rStyle w:val="Hyperlink"/>
            <w:rFonts w:ascii="Arial Narrow" w:hAnsi="Arial Narrow"/>
            <w:sz w:val="24"/>
            <w:szCs w:val="24"/>
          </w:rPr>
          <w:t>Suzanne.fleming@scotent.co.uk</w:t>
        </w:r>
      </w:hyperlink>
    </w:p>
    <w:p w:rsidR="000C4AB1" w:rsidRPr="007D68F2" w:rsidRDefault="000C4AB1" w:rsidP="000C4AB1">
      <w:pPr>
        <w:jc w:val="both"/>
        <w:rPr>
          <w:rFonts w:ascii="Arial Narrow" w:hAnsi="Arial Narrow"/>
          <w:b/>
          <w:sz w:val="28"/>
          <w:szCs w:val="28"/>
        </w:rPr>
      </w:pPr>
      <w:r w:rsidRPr="007D68F2">
        <w:rPr>
          <w:rFonts w:ascii="Arial Narrow" w:hAnsi="Arial Narrow"/>
          <w:b/>
          <w:sz w:val="28"/>
          <w:szCs w:val="28"/>
        </w:rPr>
        <w:br w:type="page"/>
      </w:r>
      <w:r w:rsidRPr="007D68F2">
        <w:rPr>
          <w:rFonts w:ascii="Arial Narrow" w:hAnsi="Arial Narrow"/>
          <w:b/>
          <w:sz w:val="28"/>
          <w:szCs w:val="28"/>
        </w:rPr>
        <w:lastRenderedPageBreak/>
        <w:t>APPENDIX 1</w:t>
      </w:r>
      <w:r w:rsidRPr="007D68F2">
        <w:rPr>
          <w:rFonts w:ascii="Arial Narrow" w:hAnsi="Arial Narrow"/>
          <w:b/>
          <w:sz w:val="28"/>
          <w:szCs w:val="28"/>
        </w:rPr>
        <w:tab/>
      </w:r>
      <w:r w:rsidRPr="007D68F2">
        <w:rPr>
          <w:rFonts w:ascii="Arial Narrow" w:hAnsi="Arial Narrow"/>
          <w:b/>
          <w:sz w:val="28"/>
          <w:szCs w:val="28"/>
        </w:rPr>
        <w:tab/>
      </w:r>
      <w:r w:rsidRPr="007D68F2">
        <w:rPr>
          <w:rFonts w:ascii="Arial Narrow" w:hAnsi="Arial Narrow"/>
          <w:b/>
          <w:sz w:val="28"/>
          <w:szCs w:val="28"/>
        </w:rPr>
        <w:tab/>
      </w:r>
      <w:r w:rsidRPr="007D68F2">
        <w:rPr>
          <w:rFonts w:ascii="Arial Narrow" w:hAnsi="Arial Narrow"/>
          <w:b/>
          <w:sz w:val="28"/>
          <w:szCs w:val="28"/>
        </w:rPr>
        <w:tab/>
        <w:t>A Worked Example</w:t>
      </w:r>
    </w:p>
    <w:p w:rsidR="000C4AB1" w:rsidRPr="007D68F2" w:rsidRDefault="000C4AB1" w:rsidP="000C4AB1">
      <w:pPr>
        <w:jc w:val="both"/>
        <w:rPr>
          <w:rFonts w:ascii="Arial Narrow" w:hAnsi="Arial Narrow"/>
          <w:sz w:val="24"/>
          <w:szCs w:val="24"/>
        </w:rPr>
      </w:pPr>
      <w:r w:rsidRPr="007D68F2">
        <w:rPr>
          <w:rFonts w:ascii="Arial Narrow" w:hAnsi="Arial Narrow"/>
          <w:sz w:val="24"/>
          <w:szCs w:val="24"/>
        </w:rPr>
        <w:t xml:space="preserve">Table 1 shows the funding profile for an intervention involving 3 public sector partners: SE, </w:t>
      </w:r>
      <w:smartTag w:uri="urn:schemas-microsoft-com:office:smarttags" w:element="place">
        <w:r w:rsidRPr="007D68F2">
          <w:rPr>
            <w:rFonts w:ascii="Arial Narrow" w:hAnsi="Arial Narrow"/>
            <w:sz w:val="24"/>
            <w:szCs w:val="24"/>
          </w:rPr>
          <w:t>Highlands</w:t>
        </w:r>
      </w:smartTag>
      <w:r w:rsidRPr="007D68F2">
        <w:rPr>
          <w:rFonts w:ascii="Arial Narrow" w:hAnsi="Arial Narrow"/>
          <w:sz w:val="24"/>
          <w:szCs w:val="24"/>
        </w:rPr>
        <w:t xml:space="preserve"> and Islands Enterprise (HIE) and the European Regional Development Fund (ERDF). As can be seen different amounts of funding are allocated over different periods. All values are given in current prices.  </w:t>
      </w:r>
    </w:p>
    <w:p w:rsidR="000C4AB1" w:rsidRPr="007D68F2" w:rsidRDefault="000C4AB1" w:rsidP="000C4AB1">
      <w:pPr>
        <w:jc w:val="both"/>
        <w:rPr>
          <w:rFonts w:ascii="Arial Narrow" w:hAnsi="Arial Narrow"/>
          <w:b/>
          <w:sz w:val="24"/>
          <w:szCs w:val="24"/>
          <w:u w:val="single"/>
        </w:rPr>
      </w:pPr>
      <w:r w:rsidRPr="007D68F2">
        <w:rPr>
          <w:rFonts w:ascii="Arial Narrow" w:hAnsi="Arial Narrow"/>
          <w:b/>
          <w:sz w:val="24"/>
          <w:szCs w:val="24"/>
        </w:rPr>
        <w:t>TABLE 1</w:t>
      </w:r>
      <w:r w:rsidRPr="007D68F2">
        <w:rPr>
          <w:rFonts w:ascii="Arial Narrow" w:hAnsi="Arial Narrow"/>
          <w:b/>
          <w:sz w:val="24"/>
          <w:szCs w:val="24"/>
        </w:rPr>
        <w:tab/>
      </w:r>
      <w:r w:rsidRPr="007D68F2">
        <w:rPr>
          <w:rFonts w:ascii="Arial Narrow" w:hAnsi="Arial Narrow"/>
          <w:b/>
          <w:sz w:val="24"/>
          <w:szCs w:val="24"/>
        </w:rPr>
        <w:tab/>
      </w:r>
      <w:r w:rsidRPr="007D68F2">
        <w:rPr>
          <w:rFonts w:ascii="Arial Narrow" w:hAnsi="Arial Narrow"/>
          <w:b/>
          <w:sz w:val="24"/>
          <w:szCs w:val="24"/>
          <w:u w:val="single"/>
        </w:rPr>
        <w:t>Intervention Partners’ Funding Profile - Current Prices</w:t>
      </w:r>
    </w:p>
    <w:tbl>
      <w:tblPr>
        <w:tblW w:w="0" w:type="auto"/>
        <w:tblBorders>
          <w:top w:val="single" w:sz="8" w:space="0" w:color="4F81BD"/>
          <w:bottom w:val="single" w:sz="8" w:space="0" w:color="4F81BD"/>
        </w:tblBorders>
        <w:tblLook w:val="00A0"/>
      </w:tblPr>
      <w:tblGrid>
        <w:gridCol w:w="2093"/>
        <w:gridCol w:w="1429"/>
        <w:gridCol w:w="1430"/>
        <w:gridCol w:w="1430"/>
        <w:gridCol w:w="1430"/>
        <w:gridCol w:w="1430"/>
      </w:tblGrid>
      <w:tr w:rsidR="000C4AB1" w:rsidRPr="007D68F2" w:rsidTr="0047683B">
        <w:tc>
          <w:tcPr>
            <w:tcW w:w="2093" w:type="dxa"/>
            <w:tcBorders>
              <w:top w:val="single" w:sz="8" w:space="0" w:color="4F81BD"/>
              <w:left w:val="nil"/>
              <w:bottom w:val="single" w:sz="8" w:space="0" w:color="4F81BD"/>
              <w:right w:val="nil"/>
            </w:tcBorders>
          </w:tcPr>
          <w:p w:rsidR="000C4AB1" w:rsidRPr="007D68F2" w:rsidRDefault="000C4AB1" w:rsidP="0047683B">
            <w:pPr>
              <w:spacing w:after="0" w:line="240" w:lineRule="auto"/>
              <w:jc w:val="both"/>
              <w:rPr>
                <w:rFonts w:ascii="Arial Narrow" w:hAnsi="Arial Narrow"/>
                <w:b/>
                <w:bCs/>
                <w:color w:val="365F91"/>
                <w:sz w:val="24"/>
                <w:szCs w:val="24"/>
              </w:rPr>
            </w:pPr>
          </w:p>
        </w:tc>
        <w:tc>
          <w:tcPr>
            <w:tcW w:w="1429" w:type="dxa"/>
            <w:tcBorders>
              <w:top w:val="single" w:sz="8" w:space="0" w:color="4F81BD"/>
              <w:left w:val="nil"/>
              <w:bottom w:val="single" w:sz="8" w:space="0" w:color="4F81BD"/>
              <w:right w:val="nil"/>
            </w:tcBorders>
          </w:tcPr>
          <w:p w:rsidR="000C4AB1" w:rsidRPr="007D68F2" w:rsidRDefault="000C4AB1" w:rsidP="0047683B">
            <w:pPr>
              <w:spacing w:after="0" w:line="240" w:lineRule="auto"/>
              <w:jc w:val="both"/>
              <w:rPr>
                <w:rFonts w:ascii="Arial Narrow" w:hAnsi="Arial Narrow"/>
                <w:b/>
                <w:bCs/>
                <w:sz w:val="24"/>
                <w:szCs w:val="24"/>
              </w:rPr>
            </w:pPr>
            <w:r w:rsidRPr="007D68F2">
              <w:rPr>
                <w:rFonts w:ascii="Arial Narrow" w:hAnsi="Arial Narrow"/>
                <w:b/>
                <w:bCs/>
                <w:sz w:val="24"/>
                <w:szCs w:val="24"/>
              </w:rPr>
              <w:t>Year 1</w:t>
            </w:r>
          </w:p>
        </w:tc>
        <w:tc>
          <w:tcPr>
            <w:tcW w:w="1430" w:type="dxa"/>
            <w:tcBorders>
              <w:top w:val="single" w:sz="8" w:space="0" w:color="4F81BD"/>
              <w:left w:val="nil"/>
              <w:bottom w:val="single" w:sz="8" w:space="0" w:color="4F81BD"/>
              <w:right w:val="nil"/>
            </w:tcBorders>
          </w:tcPr>
          <w:p w:rsidR="000C4AB1" w:rsidRPr="007D68F2" w:rsidRDefault="000C4AB1" w:rsidP="0047683B">
            <w:pPr>
              <w:spacing w:after="0" w:line="240" w:lineRule="auto"/>
              <w:jc w:val="both"/>
              <w:rPr>
                <w:rFonts w:ascii="Arial Narrow" w:hAnsi="Arial Narrow"/>
                <w:b/>
                <w:bCs/>
                <w:sz w:val="24"/>
                <w:szCs w:val="24"/>
              </w:rPr>
            </w:pPr>
            <w:r w:rsidRPr="007D68F2">
              <w:rPr>
                <w:rFonts w:ascii="Arial Narrow" w:hAnsi="Arial Narrow"/>
                <w:b/>
                <w:bCs/>
                <w:sz w:val="24"/>
                <w:szCs w:val="24"/>
              </w:rPr>
              <w:t>Year 2</w:t>
            </w:r>
          </w:p>
        </w:tc>
        <w:tc>
          <w:tcPr>
            <w:tcW w:w="1430" w:type="dxa"/>
            <w:tcBorders>
              <w:top w:val="single" w:sz="8" w:space="0" w:color="4F81BD"/>
              <w:left w:val="nil"/>
              <w:bottom w:val="single" w:sz="8" w:space="0" w:color="4F81BD"/>
              <w:right w:val="nil"/>
            </w:tcBorders>
          </w:tcPr>
          <w:p w:rsidR="000C4AB1" w:rsidRPr="007D68F2" w:rsidRDefault="000C4AB1" w:rsidP="0047683B">
            <w:pPr>
              <w:spacing w:after="0" w:line="240" w:lineRule="auto"/>
              <w:jc w:val="both"/>
              <w:rPr>
                <w:rFonts w:ascii="Arial Narrow" w:hAnsi="Arial Narrow"/>
                <w:b/>
                <w:bCs/>
                <w:sz w:val="24"/>
                <w:szCs w:val="24"/>
              </w:rPr>
            </w:pPr>
            <w:r w:rsidRPr="007D68F2">
              <w:rPr>
                <w:rFonts w:ascii="Arial Narrow" w:hAnsi="Arial Narrow"/>
                <w:b/>
                <w:bCs/>
                <w:sz w:val="24"/>
                <w:szCs w:val="24"/>
              </w:rPr>
              <w:t>Year 3</w:t>
            </w:r>
          </w:p>
        </w:tc>
        <w:tc>
          <w:tcPr>
            <w:tcW w:w="1430" w:type="dxa"/>
            <w:tcBorders>
              <w:top w:val="single" w:sz="8" w:space="0" w:color="4F81BD"/>
              <w:left w:val="nil"/>
              <w:bottom w:val="single" w:sz="8" w:space="0" w:color="4F81BD"/>
              <w:right w:val="nil"/>
            </w:tcBorders>
          </w:tcPr>
          <w:p w:rsidR="000C4AB1" w:rsidRPr="007D68F2" w:rsidRDefault="000C4AB1" w:rsidP="0047683B">
            <w:pPr>
              <w:spacing w:after="0" w:line="240" w:lineRule="auto"/>
              <w:jc w:val="both"/>
              <w:rPr>
                <w:rFonts w:ascii="Arial Narrow" w:hAnsi="Arial Narrow"/>
                <w:b/>
                <w:bCs/>
                <w:sz w:val="24"/>
                <w:szCs w:val="24"/>
              </w:rPr>
            </w:pPr>
            <w:r w:rsidRPr="007D68F2">
              <w:rPr>
                <w:rFonts w:ascii="Arial Narrow" w:hAnsi="Arial Narrow"/>
                <w:b/>
                <w:bCs/>
                <w:sz w:val="24"/>
                <w:szCs w:val="24"/>
              </w:rPr>
              <w:t>Year 4</w:t>
            </w:r>
          </w:p>
        </w:tc>
        <w:tc>
          <w:tcPr>
            <w:tcW w:w="1430" w:type="dxa"/>
            <w:tcBorders>
              <w:top w:val="single" w:sz="8" w:space="0" w:color="4F81BD"/>
              <w:left w:val="nil"/>
              <w:bottom w:val="single" w:sz="8" w:space="0" w:color="4F81BD"/>
              <w:right w:val="nil"/>
            </w:tcBorders>
          </w:tcPr>
          <w:p w:rsidR="000C4AB1" w:rsidRPr="007D68F2" w:rsidRDefault="000C4AB1" w:rsidP="0047683B">
            <w:pPr>
              <w:spacing w:after="0" w:line="240" w:lineRule="auto"/>
              <w:jc w:val="both"/>
              <w:rPr>
                <w:rFonts w:ascii="Arial Narrow" w:hAnsi="Arial Narrow"/>
                <w:b/>
                <w:bCs/>
                <w:sz w:val="24"/>
                <w:szCs w:val="24"/>
              </w:rPr>
            </w:pPr>
            <w:r w:rsidRPr="007D68F2">
              <w:rPr>
                <w:rFonts w:ascii="Arial Narrow" w:hAnsi="Arial Narrow"/>
                <w:b/>
                <w:bCs/>
                <w:sz w:val="24"/>
                <w:szCs w:val="24"/>
              </w:rPr>
              <w:t>Total</w:t>
            </w:r>
          </w:p>
        </w:tc>
      </w:tr>
      <w:tr w:rsidR="000C4AB1" w:rsidRPr="007D68F2" w:rsidTr="0047683B">
        <w:tc>
          <w:tcPr>
            <w:tcW w:w="2093" w:type="dxa"/>
            <w:tcBorders>
              <w:left w:val="nil"/>
              <w:right w:val="nil"/>
            </w:tcBorders>
            <w:shd w:val="clear" w:color="auto" w:fill="D3DFEE"/>
          </w:tcPr>
          <w:p w:rsidR="000C4AB1" w:rsidRPr="007D68F2" w:rsidRDefault="000C4AB1" w:rsidP="0047683B">
            <w:pPr>
              <w:spacing w:after="0" w:line="240" w:lineRule="auto"/>
              <w:jc w:val="both"/>
              <w:rPr>
                <w:rFonts w:ascii="Arial Narrow" w:hAnsi="Arial Narrow"/>
                <w:b/>
                <w:bCs/>
                <w:sz w:val="24"/>
                <w:szCs w:val="24"/>
              </w:rPr>
            </w:pPr>
            <w:r w:rsidRPr="007D68F2">
              <w:rPr>
                <w:rFonts w:ascii="Arial Narrow" w:hAnsi="Arial Narrow"/>
                <w:bCs/>
                <w:sz w:val="24"/>
                <w:szCs w:val="24"/>
              </w:rPr>
              <w:t xml:space="preserve">SE Funding </w:t>
            </w:r>
          </w:p>
        </w:tc>
        <w:tc>
          <w:tcPr>
            <w:tcW w:w="1429" w:type="dxa"/>
            <w:tcBorders>
              <w:left w:val="nil"/>
              <w:right w:val="nil"/>
            </w:tcBorders>
            <w:shd w:val="clear" w:color="auto" w:fill="D3DFEE"/>
          </w:tcPr>
          <w:p w:rsidR="000C4AB1" w:rsidRPr="007D68F2" w:rsidRDefault="000C4AB1" w:rsidP="0047683B">
            <w:pPr>
              <w:spacing w:after="0" w:line="240" w:lineRule="auto"/>
              <w:jc w:val="both"/>
              <w:rPr>
                <w:rFonts w:ascii="Arial Narrow" w:hAnsi="Arial Narrow"/>
                <w:color w:val="000000"/>
                <w:sz w:val="24"/>
                <w:szCs w:val="24"/>
              </w:rPr>
            </w:pPr>
            <w:r w:rsidRPr="007D68F2">
              <w:rPr>
                <w:rFonts w:ascii="Arial Narrow" w:hAnsi="Arial Narrow"/>
                <w:color w:val="000000"/>
                <w:sz w:val="24"/>
                <w:szCs w:val="24"/>
              </w:rPr>
              <w:t>£800,000</w:t>
            </w:r>
          </w:p>
        </w:tc>
        <w:tc>
          <w:tcPr>
            <w:tcW w:w="1430" w:type="dxa"/>
            <w:tcBorders>
              <w:left w:val="nil"/>
              <w:right w:val="nil"/>
            </w:tcBorders>
            <w:shd w:val="clear" w:color="auto" w:fill="D3DFEE"/>
          </w:tcPr>
          <w:p w:rsidR="000C4AB1" w:rsidRPr="007D68F2" w:rsidRDefault="000C4AB1" w:rsidP="0047683B">
            <w:pPr>
              <w:spacing w:after="0" w:line="240" w:lineRule="auto"/>
              <w:jc w:val="both"/>
              <w:rPr>
                <w:rFonts w:ascii="Arial Narrow" w:hAnsi="Arial Narrow"/>
                <w:color w:val="000000"/>
                <w:sz w:val="24"/>
                <w:szCs w:val="24"/>
              </w:rPr>
            </w:pPr>
            <w:r w:rsidRPr="007D68F2">
              <w:rPr>
                <w:rFonts w:ascii="Arial Narrow" w:hAnsi="Arial Narrow"/>
                <w:color w:val="000000"/>
                <w:sz w:val="24"/>
                <w:szCs w:val="24"/>
              </w:rPr>
              <w:t>£500,000</w:t>
            </w:r>
          </w:p>
        </w:tc>
        <w:tc>
          <w:tcPr>
            <w:tcW w:w="1430" w:type="dxa"/>
            <w:tcBorders>
              <w:left w:val="nil"/>
              <w:right w:val="nil"/>
            </w:tcBorders>
            <w:shd w:val="clear" w:color="auto" w:fill="D3DFEE"/>
          </w:tcPr>
          <w:p w:rsidR="000C4AB1" w:rsidRPr="007D68F2" w:rsidRDefault="000C4AB1" w:rsidP="0047683B">
            <w:pPr>
              <w:spacing w:after="0" w:line="240" w:lineRule="auto"/>
              <w:jc w:val="both"/>
              <w:rPr>
                <w:rFonts w:ascii="Arial Narrow" w:hAnsi="Arial Narrow"/>
                <w:color w:val="000000"/>
                <w:sz w:val="24"/>
                <w:szCs w:val="24"/>
              </w:rPr>
            </w:pPr>
            <w:r w:rsidRPr="007D68F2">
              <w:rPr>
                <w:rFonts w:ascii="Arial Narrow" w:hAnsi="Arial Narrow"/>
                <w:color w:val="000000"/>
                <w:sz w:val="24"/>
                <w:szCs w:val="24"/>
              </w:rPr>
              <w:t>£100,000</w:t>
            </w:r>
          </w:p>
        </w:tc>
        <w:tc>
          <w:tcPr>
            <w:tcW w:w="1430" w:type="dxa"/>
            <w:tcBorders>
              <w:left w:val="nil"/>
              <w:right w:val="nil"/>
            </w:tcBorders>
            <w:shd w:val="clear" w:color="auto" w:fill="D3DFEE"/>
          </w:tcPr>
          <w:p w:rsidR="000C4AB1" w:rsidRPr="007D68F2" w:rsidRDefault="000C4AB1" w:rsidP="0047683B">
            <w:pPr>
              <w:spacing w:after="0" w:line="240" w:lineRule="auto"/>
              <w:jc w:val="both"/>
              <w:rPr>
                <w:rFonts w:ascii="Arial Narrow" w:hAnsi="Arial Narrow"/>
                <w:color w:val="000000"/>
                <w:sz w:val="24"/>
                <w:szCs w:val="24"/>
              </w:rPr>
            </w:pPr>
            <w:r w:rsidRPr="007D68F2">
              <w:rPr>
                <w:rFonts w:ascii="Arial Narrow" w:hAnsi="Arial Narrow"/>
                <w:color w:val="000000"/>
                <w:sz w:val="24"/>
                <w:szCs w:val="24"/>
              </w:rPr>
              <w:t>£100,000</w:t>
            </w:r>
          </w:p>
        </w:tc>
        <w:tc>
          <w:tcPr>
            <w:tcW w:w="1430" w:type="dxa"/>
            <w:tcBorders>
              <w:left w:val="nil"/>
              <w:right w:val="nil"/>
            </w:tcBorders>
            <w:shd w:val="clear" w:color="auto" w:fill="D3DFEE"/>
          </w:tcPr>
          <w:p w:rsidR="000C4AB1" w:rsidRPr="007D68F2" w:rsidRDefault="000C4AB1" w:rsidP="0047683B">
            <w:pPr>
              <w:spacing w:after="0" w:line="240" w:lineRule="auto"/>
              <w:jc w:val="both"/>
              <w:rPr>
                <w:rFonts w:ascii="Arial Narrow" w:hAnsi="Arial Narrow"/>
                <w:color w:val="000000"/>
                <w:sz w:val="24"/>
                <w:szCs w:val="24"/>
              </w:rPr>
            </w:pPr>
            <w:r w:rsidRPr="007D68F2">
              <w:rPr>
                <w:rFonts w:ascii="Arial Narrow" w:hAnsi="Arial Narrow"/>
                <w:color w:val="000000"/>
                <w:sz w:val="24"/>
                <w:szCs w:val="24"/>
              </w:rPr>
              <w:t>£1,500,000</w:t>
            </w:r>
          </w:p>
        </w:tc>
      </w:tr>
      <w:tr w:rsidR="000C4AB1" w:rsidRPr="007D68F2" w:rsidTr="0047683B">
        <w:tc>
          <w:tcPr>
            <w:tcW w:w="2093" w:type="dxa"/>
          </w:tcPr>
          <w:p w:rsidR="000C4AB1" w:rsidRPr="007D68F2" w:rsidRDefault="000C4AB1" w:rsidP="0047683B">
            <w:pPr>
              <w:spacing w:after="0" w:line="240" w:lineRule="auto"/>
              <w:jc w:val="both"/>
              <w:rPr>
                <w:rFonts w:ascii="Arial Narrow" w:hAnsi="Arial Narrow"/>
                <w:b/>
                <w:bCs/>
                <w:sz w:val="24"/>
                <w:szCs w:val="24"/>
              </w:rPr>
            </w:pPr>
            <w:r w:rsidRPr="007D68F2">
              <w:rPr>
                <w:rFonts w:ascii="Arial Narrow" w:hAnsi="Arial Narrow"/>
                <w:bCs/>
                <w:sz w:val="24"/>
                <w:szCs w:val="24"/>
              </w:rPr>
              <w:t xml:space="preserve">HIE Funding </w:t>
            </w:r>
          </w:p>
        </w:tc>
        <w:tc>
          <w:tcPr>
            <w:tcW w:w="1429" w:type="dxa"/>
          </w:tcPr>
          <w:p w:rsidR="000C4AB1" w:rsidRPr="007D68F2" w:rsidRDefault="000C4AB1" w:rsidP="0047683B">
            <w:pPr>
              <w:spacing w:after="0" w:line="240" w:lineRule="auto"/>
              <w:jc w:val="both"/>
              <w:rPr>
                <w:rFonts w:ascii="Arial Narrow" w:hAnsi="Arial Narrow"/>
                <w:color w:val="000000"/>
                <w:sz w:val="24"/>
                <w:szCs w:val="24"/>
              </w:rPr>
            </w:pPr>
            <w:r w:rsidRPr="007D68F2">
              <w:rPr>
                <w:rFonts w:ascii="Arial Narrow" w:hAnsi="Arial Narrow"/>
                <w:color w:val="000000"/>
                <w:sz w:val="24"/>
                <w:szCs w:val="24"/>
              </w:rPr>
              <w:t>£500,000</w:t>
            </w:r>
          </w:p>
        </w:tc>
        <w:tc>
          <w:tcPr>
            <w:tcW w:w="1430" w:type="dxa"/>
          </w:tcPr>
          <w:p w:rsidR="000C4AB1" w:rsidRPr="007D68F2" w:rsidRDefault="000C4AB1" w:rsidP="0047683B">
            <w:pPr>
              <w:spacing w:after="0" w:line="240" w:lineRule="auto"/>
              <w:jc w:val="both"/>
              <w:rPr>
                <w:rFonts w:ascii="Arial Narrow" w:hAnsi="Arial Narrow"/>
                <w:color w:val="000000"/>
                <w:sz w:val="24"/>
                <w:szCs w:val="24"/>
              </w:rPr>
            </w:pPr>
            <w:r w:rsidRPr="007D68F2">
              <w:rPr>
                <w:rFonts w:ascii="Arial Narrow" w:hAnsi="Arial Narrow"/>
                <w:color w:val="000000"/>
                <w:sz w:val="24"/>
                <w:szCs w:val="24"/>
              </w:rPr>
              <w:t>£500,000</w:t>
            </w:r>
          </w:p>
        </w:tc>
        <w:tc>
          <w:tcPr>
            <w:tcW w:w="1430" w:type="dxa"/>
          </w:tcPr>
          <w:p w:rsidR="000C4AB1" w:rsidRPr="007D68F2" w:rsidRDefault="000C4AB1" w:rsidP="0047683B">
            <w:pPr>
              <w:spacing w:after="0" w:line="240" w:lineRule="auto"/>
              <w:jc w:val="both"/>
              <w:rPr>
                <w:rFonts w:ascii="Arial Narrow" w:hAnsi="Arial Narrow"/>
                <w:color w:val="000000"/>
                <w:sz w:val="24"/>
                <w:szCs w:val="24"/>
              </w:rPr>
            </w:pPr>
            <w:r w:rsidRPr="007D68F2">
              <w:rPr>
                <w:rFonts w:ascii="Arial Narrow" w:hAnsi="Arial Narrow"/>
                <w:color w:val="000000"/>
                <w:sz w:val="24"/>
                <w:szCs w:val="24"/>
              </w:rPr>
              <w:t>£500,000</w:t>
            </w:r>
          </w:p>
        </w:tc>
        <w:tc>
          <w:tcPr>
            <w:tcW w:w="1430" w:type="dxa"/>
          </w:tcPr>
          <w:p w:rsidR="000C4AB1" w:rsidRPr="007D68F2" w:rsidRDefault="000C4AB1" w:rsidP="0047683B">
            <w:pPr>
              <w:spacing w:after="0" w:line="240" w:lineRule="auto"/>
              <w:jc w:val="both"/>
              <w:rPr>
                <w:rFonts w:ascii="Arial Narrow" w:hAnsi="Arial Narrow"/>
                <w:color w:val="000000"/>
                <w:sz w:val="24"/>
                <w:szCs w:val="24"/>
              </w:rPr>
            </w:pPr>
          </w:p>
        </w:tc>
        <w:tc>
          <w:tcPr>
            <w:tcW w:w="1430" w:type="dxa"/>
          </w:tcPr>
          <w:p w:rsidR="000C4AB1" w:rsidRPr="007D68F2" w:rsidRDefault="000C4AB1" w:rsidP="0047683B">
            <w:pPr>
              <w:spacing w:after="0" w:line="240" w:lineRule="auto"/>
              <w:jc w:val="both"/>
              <w:rPr>
                <w:rFonts w:ascii="Arial Narrow" w:hAnsi="Arial Narrow"/>
                <w:color w:val="000000"/>
                <w:sz w:val="24"/>
                <w:szCs w:val="24"/>
              </w:rPr>
            </w:pPr>
            <w:r w:rsidRPr="007D68F2">
              <w:rPr>
                <w:rFonts w:ascii="Arial Narrow" w:hAnsi="Arial Narrow"/>
                <w:color w:val="000000"/>
                <w:sz w:val="24"/>
                <w:szCs w:val="24"/>
              </w:rPr>
              <w:t>£1,500,000</w:t>
            </w:r>
          </w:p>
        </w:tc>
      </w:tr>
      <w:tr w:rsidR="000C4AB1" w:rsidRPr="007D68F2" w:rsidTr="0047683B">
        <w:tc>
          <w:tcPr>
            <w:tcW w:w="2093" w:type="dxa"/>
            <w:tcBorders>
              <w:left w:val="nil"/>
              <w:right w:val="nil"/>
            </w:tcBorders>
            <w:shd w:val="clear" w:color="auto" w:fill="D3DFEE"/>
          </w:tcPr>
          <w:p w:rsidR="000C4AB1" w:rsidRPr="007D68F2" w:rsidRDefault="000C4AB1" w:rsidP="0047683B">
            <w:pPr>
              <w:spacing w:after="0" w:line="240" w:lineRule="auto"/>
              <w:jc w:val="both"/>
              <w:rPr>
                <w:rFonts w:ascii="Arial Narrow" w:hAnsi="Arial Narrow"/>
                <w:b/>
                <w:bCs/>
                <w:sz w:val="24"/>
                <w:szCs w:val="24"/>
              </w:rPr>
            </w:pPr>
            <w:r w:rsidRPr="007D68F2">
              <w:rPr>
                <w:rFonts w:ascii="Arial Narrow" w:hAnsi="Arial Narrow"/>
                <w:bCs/>
                <w:sz w:val="24"/>
                <w:szCs w:val="24"/>
              </w:rPr>
              <w:t xml:space="preserve">ERDF Funding </w:t>
            </w:r>
          </w:p>
        </w:tc>
        <w:tc>
          <w:tcPr>
            <w:tcW w:w="1429" w:type="dxa"/>
            <w:tcBorders>
              <w:left w:val="nil"/>
              <w:right w:val="nil"/>
            </w:tcBorders>
            <w:shd w:val="clear" w:color="auto" w:fill="D3DFEE"/>
          </w:tcPr>
          <w:p w:rsidR="000C4AB1" w:rsidRPr="007D68F2" w:rsidRDefault="000C4AB1" w:rsidP="0047683B">
            <w:pPr>
              <w:spacing w:after="0" w:line="240" w:lineRule="auto"/>
              <w:jc w:val="both"/>
              <w:rPr>
                <w:rFonts w:ascii="Arial Narrow" w:hAnsi="Arial Narrow"/>
                <w:color w:val="000000"/>
                <w:sz w:val="24"/>
                <w:szCs w:val="24"/>
              </w:rPr>
            </w:pPr>
            <w:r w:rsidRPr="007D68F2">
              <w:rPr>
                <w:rFonts w:ascii="Arial Narrow" w:hAnsi="Arial Narrow"/>
                <w:color w:val="000000"/>
                <w:sz w:val="24"/>
                <w:szCs w:val="24"/>
              </w:rPr>
              <w:t>£1,300,000</w:t>
            </w:r>
          </w:p>
        </w:tc>
        <w:tc>
          <w:tcPr>
            <w:tcW w:w="1430" w:type="dxa"/>
            <w:tcBorders>
              <w:left w:val="nil"/>
              <w:right w:val="nil"/>
            </w:tcBorders>
            <w:shd w:val="clear" w:color="auto" w:fill="D3DFEE"/>
          </w:tcPr>
          <w:p w:rsidR="000C4AB1" w:rsidRPr="007D68F2" w:rsidRDefault="000C4AB1" w:rsidP="0047683B">
            <w:pPr>
              <w:spacing w:after="0" w:line="240" w:lineRule="auto"/>
              <w:jc w:val="both"/>
              <w:rPr>
                <w:rFonts w:ascii="Arial Narrow" w:hAnsi="Arial Narrow"/>
                <w:color w:val="000000"/>
                <w:sz w:val="24"/>
                <w:szCs w:val="24"/>
              </w:rPr>
            </w:pPr>
            <w:r w:rsidRPr="007D68F2">
              <w:rPr>
                <w:rFonts w:ascii="Arial Narrow" w:hAnsi="Arial Narrow"/>
                <w:color w:val="000000"/>
                <w:sz w:val="24"/>
                <w:szCs w:val="24"/>
              </w:rPr>
              <w:t>£1,000,000</w:t>
            </w:r>
          </w:p>
        </w:tc>
        <w:tc>
          <w:tcPr>
            <w:tcW w:w="1430" w:type="dxa"/>
            <w:tcBorders>
              <w:left w:val="nil"/>
              <w:right w:val="nil"/>
            </w:tcBorders>
            <w:shd w:val="clear" w:color="auto" w:fill="D3DFEE"/>
          </w:tcPr>
          <w:p w:rsidR="000C4AB1" w:rsidRPr="007D68F2" w:rsidRDefault="000C4AB1" w:rsidP="0047683B">
            <w:pPr>
              <w:spacing w:after="0" w:line="240" w:lineRule="auto"/>
              <w:jc w:val="both"/>
              <w:rPr>
                <w:rFonts w:ascii="Arial Narrow" w:hAnsi="Arial Narrow"/>
                <w:color w:val="000000"/>
                <w:sz w:val="24"/>
                <w:szCs w:val="24"/>
              </w:rPr>
            </w:pPr>
            <w:r w:rsidRPr="007D68F2">
              <w:rPr>
                <w:rFonts w:ascii="Arial Narrow" w:hAnsi="Arial Narrow"/>
                <w:color w:val="000000"/>
                <w:sz w:val="24"/>
                <w:szCs w:val="24"/>
              </w:rPr>
              <w:t>£700,000</w:t>
            </w:r>
          </w:p>
        </w:tc>
        <w:tc>
          <w:tcPr>
            <w:tcW w:w="1430" w:type="dxa"/>
            <w:tcBorders>
              <w:left w:val="nil"/>
              <w:right w:val="nil"/>
            </w:tcBorders>
            <w:shd w:val="clear" w:color="auto" w:fill="D3DFEE"/>
          </w:tcPr>
          <w:p w:rsidR="000C4AB1" w:rsidRPr="007D68F2" w:rsidRDefault="000C4AB1" w:rsidP="0047683B">
            <w:pPr>
              <w:spacing w:after="0" w:line="240" w:lineRule="auto"/>
              <w:jc w:val="both"/>
              <w:rPr>
                <w:rFonts w:ascii="Arial Narrow" w:hAnsi="Arial Narrow"/>
                <w:color w:val="000000"/>
                <w:sz w:val="24"/>
                <w:szCs w:val="24"/>
              </w:rPr>
            </w:pPr>
          </w:p>
        </w:tc>
        <w:tc>
          <w:tcPr>
            <w:tcW w:w="1430" w:type="dxa"/>
            <w:tcBorders>
              <w:left w:val="nil"/>
              <w:right w:val="nil"/>
            </w:tcBorders>
            <w:shd w:val="clear" w:color="auto" w:fill="D3DFEE"/>
          </w:tcPr>
          <w:p w:rsidR="000C4AB1" w:rsidRPr="007D68F2" w:rsidRDefault="000C4AB1" w:rsidP="0047683B">
            <w:pPr>
              <w:spacing w:after="0" w:line="240" w:lineRule="auto"/>
              <w:jc w:val="both"/>
              <w:rPr>
                <w:rFonts w:ascii="Arial Narrow" w:hAnsi="Arial Narrow"/>
                <w:color w:val="000000"/>
                <w:sz w:val="24"/>
                <w:szCs w:val="24"/>
              </w:rPr>
            </w:pPr>
            <w:r w:rsidRPr="007D68F2">
              <w:rPr>
                <w:rFonts w:ascii="Arial Narrow" w:hAnsi="Arial Narrow"/>
                <w:color w:val="000000"/>
                <w:sz w:val="24"/>
                <w:szCs w:val="24"/>
              </w:rPr>
              <w:t>£3,000,000</w:t>
            </w:r>
          </w:p>
        </w:tc>
      </w:tr>
      <w:tr w:rsidR="000C4AB1" w:rsidRPr="007D68F2" w:rsidTr="0047683B">
        <w:tc>
          <w:tcPr>
            <w:tcW w:w="2093" w:type="dxa"/>
          </w:tcPr>
          <w:p w:rsidR="000C4AB1" w:rsidRPr="007D68F2" w:rsidRDefault="000C4AB1" w:rsidP="0047683B">
            <w:pPr>
              <w:spacing w:after="0" w:line="240" w:lineRule="auto"/>
              <w:jc w:val="both"/>
              <w:rPr>
                <w:rFonts w:ascii="Arial Narrow" w:hAnsi="Arial Narrow"/>
                <w:b/>
                <w:bCs/>
                <w:sz w:val="24"/>
                <w:szCs w:val="24"/>
              </w:rPr>
            </w:pPr>
            <w:r w:rsidRPr="007D68F2">
              <w:rPr>
                <w:rFonts w:ascii="Arial Narrow" w:hAnsi="Arial Narrow"/>
                <w:bCs/>
                <w:sz w:val="24"/>
                <w:szCs w:val="24"/>
              </w:rPr>
              <w:t>Total Funding</w:t>
            </w:r>
          </w:p>
        </w:tc>
        <w:tc>
          <w:tcPr>
            <w:tcW w:w="1429" w:type="dxa"/>
          </w:tcPr>
          <w:p w:rsidR="000C4AB1" w:rsidRPr="007D68F2" w:rsidRDefault="000C4AB1" w:rsidP="0047683B">
            <w:pPr>
              <w:spacing w:after="0" w:line="240" w:lineRule="auto"/>
              <w:jc w:val="both"/>
              <w:rPr>
                <w:rFonts w:ascii="Arial Narrow" w:hAnsi="Arial Narrow"/>
                <w:color w:val="000000"/>
                <w:sz w:val="24"/>
                <w:szCs w:val="24"/>
              </w:rPr>
            </w:pPr>
            <w:r w:rsidRPr="007D68F2">
              <w:rPr>
                <w:rFonts w:ascii="Arial Narrow" w:hAnsi="Arial Narrow"/>
                <w:color w:val="000000"/>
                <w:sz w:val="24"/>
                <w:szCs w:val="24"/>
              </w:rPr>
              <w:t>£2,600,000</w:t>
            </w:r>
          </w:p>
        </w:tc>
        <w:tc>
          <w:tcPr>
            <w:tcW w:w="1430" w:type="dxa"/>
          </w:tcPr>
          <w:p w:rsidR="000C4AB1" w:rsidRPr="007D68F2" w:rsidRDefault="000C4AB1" w:rsidP="0047683B">
            <w:pPr>
              <w:spacing w:after="0" w:line="240" w:lineRule="auto"/>
              <w:jc w:val="both"/>
              <w:rPr>
                <w:rFonts w:ascii="Arial Narrow" w:hAnsi="Arial Narrow"/>
                <w:color w:val="000000"/>
                <w:sz w:val="24"/>
                <w:szCs w:val="24"/>
              </w:rPr>
            </w:pPr>
            <w:r w:rsidRPr="007D68F2">
              <w:rPr>
                <w:rFonts w:ascii="Arial Narrow" w:hAnsi="Arial Narrow"/>
                <w:color w:val="000000"/>
                <w:sz w:val="24"/>
                <w:szCs w:val="24"/>
              </w:rPr>
              <w:t>£2,000,000</w:t>
            </w:r>
          </w:p>
        </w:tc>
        <w:tc>
          <w:tcPr>
            <w:tcW w:w="1430" w:type="dxa"/>
          </w:tcPr>
          <w:p w:rsidR="000C4AB1" w:rsidRPr="007D68F2" w:rsidRDefault="000C4AB1" w:rsidP="0047683B">
            <w:pPr>
              <w:spacing w:after="0" w:line="240" w:lineRule="auto"/>
              <w:jc w:val="both"/>
              <w:rPr>
                <w:rFonts w:ascii="Arial Narrow" w:hAnsi="Arial Narrow"/>
                <w:color w:val="000000"/>
                <w:sz w:val="24"/>
                <w:szCs w:val="24"/>
              </w:rPr>
            </w:pPr>
            <w:r w:rsidRPr="007D68F2">
              <w:rPr>
                <w:rFonts w:ascii="Arial Narrow" w:hAnsi="Arial Narrow"/>
                <w:color w:val="000000"/>
                <w:sz w:val="24"/>
                <w:szCs w:val="24"/>
              </w:rPr>
              <w:t>£1,300,000</w:t>
            </w:r>
          </w:p>
        </w:tc>
        <w:tc>
          <w:tcPr>
            <w:tcW w:w="1430" w:type="dxa"/>
          </w:tcPr>
          <w:p w:rsidR="000C4AB1" w:rsidRPr="007D68F2" w:rsidRDefault="000C4AB1" w:rsidP="0047683B">
            <w:pPr>
              <w:spacing w:after="0" w:line="240" w:lineRule="auto"/>
              <w:jc w:val="both"/>
              <w:rPr>
                <w:rFonts w:ascii="Arial Narrow" w:hAnsi="Arial Narrow"/>
                <w:color w:val="000000"/>
                <w:sz w:val="24"/>
                <w:szCs w:val="24"/>
              </w:rPr>
            </w:pPr>
            <w:r w:rsidRPr="007D68F2">
              <w:rPr>
                <w:rFonts w:ascii="Arial Narrow" w:hAnsi="Arial Narrow"/>
                <w:color w:val="000000"/>
                <w:sz w:val="24"/>
                <w:szCs w:val="24"/>
              </w:rPr>
              <w:t>£100,000</w:t>
            </w:r>
          </w:p>
        </w:tc>
        <w:tc>
          <w:tcPr>
            <w:tcW w:w="1430" w:type="dxa"/>
          </w:tcPr>
          <w:p w:rsidR="000C4AB1" w:rsidRPr="007D68F2" w:rsidRDefault="000C4AB1" w:rsidP="0047683B">
            <w:pPr>
              <w:spacing w:after="0" w:line="240" w:lineRule="auto"/>
              <w:jc w:val="both"/>
              <w:rPr>
                <w:rFonts w:ascii="Arial Narrow" w:hAnsi="Arial Narrow"/>
                <w:color w:val="000000"/>
                <w:sz w:val="24"/>
                <w:szCs w:val="24"/>
              </w:rPr>
            </w:pPr>
            <w:r w:rsidRPr="007D68F2">
              <w:rPr>
                <w:rFonts w:ascii="Arial Narrow" w:hAnsi="Arial Narrow"/>
                <w:color w:val="000000"/>
                <w:sz w:val="24"/>
                <w:szCs w:val="24"/>
              </w:rPr>
              <w:t>£6,000,000</w:t>
            </w:r>
          </w:p>
        </w:tc>
      </w:tr>
      <w:tr w:rsidR="000C4AB1" w:rsidRPr="007D68F2" w:rsidTr="0047683B">
        <w:tc>
          <w:tcPr>
            <w:tcW w:w="2093" w:type="dxa"/>
            <w:tcBorders>
              <w:bottom w:val="single" w:sz="8" w:space="0" w:color="4F81BD"/>
            </w:tcBorders>
          </w:tcPr>
          <w:p w:rsidR="000C4AB1" w:rsidRPr="007D68F2" w:rsidRDefault="000C4AB1" w:rsidP="0047683B">
            <w:pPr>
              <w:spacing w:after="0" w:line="240" w:lineRule="auto"/>
              <w:jc w:val="both"/>
              <w:rPr>
                <w:rFonts w:ascii="Arial Narrow" w:hAnsi="Arial Narrow"/>
                <w:b/>
                <w:bCs/>
                <w:sz w:val="24"/>
                <w:szCs w:val="24"/>
              </w:rPr>
            </w:pPr>
            <w:r w:rsidRPr="007D68F2">
              <w:rPr>
                <w:rFonts w:ascii="Arial Narrow" w:hAnsi="Arial Narrow"/>
                <w:bCs/>
                <w:sz w:val="24"/>
                <w:szCs w:val="24"/>
              </w:rPr>
              <w:t>GDP Deflator</w:t>
            </w:r>
          </w:p>
        </w:tc>
        <w:tc>
          <w:tcPr>
            <w:tcW w:w="1429" w:type="dxa"/>
            <w:tcBorders>
              <w:bottom w:val="single" w:sz="8" w:space="0" w:color="4F81BD"/>
            </w:tcBorders>
          </w:tcPr>
          <w:p w:rsidR="000C4AB1" w:rsidRPr="007D68F2" w:rsidRDefault="000C4AB1" w:rsidP="0047683B">
            <w:pPr>
              <w:spacing w:after="0" w:line="240" w:lineRule="auto"/>
              <w:jc w:val="both"/>
              <w:rPr>
                <w:rFonts w:ascii="Arial Narrow" w:hAnsi="Arial Narrow"/>
                <w:color w:val="000000"/>
                <w:sz w:val="24"/>
                <w:szCs w:val="24"/>
              </w:rPr>
            </w:pPr>
            <w:r w:rsidRPr="007D68F2">
              <w:rPr>
                <w:rFonts w:ascii="Arial Narrow" w:hAnsi="Arial Narrow"/>
                <w:color w:val="000000"/>
                <w:sz w:val="24"/>
                <w:szCs w:val="24"/>
              </w:rPr>
              <w:t>100</w:t>
            </w:r>
          </w:p>
        </w:tc>
        <w:tc>
          <w:tcPr>
            <w:tcW w:w="1430" w:type="dxa"/>
            <w:tcBorders>
              <w:bottom w:val="single" w:sz="8" w:space="0" w:color="4F81BD"/>
            </w:tcBorders>
          </w:tcPr>
          <w:p w:rsidR="000C4AB1" w:rsidRPr="007D68F2" w:rsidRDefault="000C4AB1" w:rsidP="0047683B">
            <w:pPr>
              <w:spacing w:after="0" w:line="240" w:lineRule="auto"/>
              <w:jc w:val="both"/>
              <w:rPr>
                <w:rFonts w:ascii="Arial Narrow" w:hAnsi="Arial Narrow"/>
                <w:color w:val="000000"/>
                <w:sz w:val="24"/>
                <w:szCs w:val="24"/>
              </w:rPr>
            </w:pPr>
            <w:r w:rsidRPr="007D68F2">
              <w:rPr>
                <w:rFonts w:ascii="Arial Narrow" w:hAnsi="Arial Narrow"/>
                <w:color w:val="000000"/>
                <w:sz w:val="24"/>
                <w:szCs w:val="24"/>
              </w:rPr>
              <w:t>105</w:t>
            </w:r>
          </w:p>
        </w:tc>
        <w:tc>
          <w:tcPr>
            <w:tcW w:w="1430" w:type="dxa"/>
            <w:tcBorders>
              <w:bottom w:val="single" w:sz="8" w:space="0" w:color="4F81BD"/>
            </w:tcBorders>
          </w:tcPr>
          <w:p w:rsidR="000C4AB1" w:rsidRPr="007D68F2" w:rsidRDefault="000C4AB1" w:rsidP="0047683B">
            <w:pPr>
              <w:spacing w:after="0" w:line="240" w:lineRule="auto"/>
              <w:jc w:val="both"/>
              <w:rPr>
                <w:rFonts w:ascii="Arial Narrow" w:hAnsi="Arial Narrow"/>
                <w:color w:val="000000"/>
                <w:sz w:val="24"/>
                <w:szCs w:val="24"/>
              </w:rPr>
            </w:pPr>
            <w:r w:rsidRPr="007D68F2">
              <w:rPr>
                <w:rFonts w:ascii="Arial Narrow" w:hAnsi="Arial Narrow"/>
                <w:color w:val="000000"/>
                <w:sz w:val="24"/>
                <w:szCs w:val="24"/>
              </w:rPr>
              <w:t>111</w:t>
            </w:r>
          </w:p>
        </w:tc>
        <w:tc>
          <w:tcPr>
            <w:tcW w:w="1430" w:type="dxa"/>
            <w:tcBorders>
              <w:bottom w:val="single" w:sz="8" w:space="0" w:color="4F81BD"/>
            </w:tcBorders>
          </w:tcPr>
          <w:p w:rsidR="000C4AB1" w:rsidRPr="007D68F2" w:rsidRDefault="000C4AB1" w:rsidP="0047683B">
            <w:pPr>
              <w:spacing w:after="0" w:line="240" w:lineRule="auto"/>
              <w:jc w:val="both"/>
              <w:rPr>
                <w:rFonts w:ascii="Arial Narrow" w:hAnsi="Arial Narrow"/>
                <w:color w:val="000000"/>
                <w:sz w:val="24"/>
                <w:szCs w:val="24"/>
              </w:rPr>
            </w:pPr>
            <w:r w:rsidRPr="007D68F2">
              <w:rPr>
                <w:rFonts w:ascii="Arial Narrow" w:hAnsi="Arial Narrow"/>
                <w:color w:val="000000"/>
                <w:sz w:val="24"/>
                <w:szCs w:val="24"/>
              </w:rPr>
              <w:t>120</w:t>
            </w:r>
          </w:p>
        </w:tc>
        <w:tc>
          <w:tcPr>
            <w:tcW w:w="1430" w:type="dxa"/>
            <w:tcBorders>
              <w:bottom w:val="single" w:sz="8" w:space="0" w:color="4F81BD"/>
            </w:tcBorders>
          </w:tcPr>
          <w:p w:rsidR="000C4AB1" w:rsidRPr="007D68F2" w:rsidRDefault="000C4AB1" w:rsidP="0047683B">
            <w:pPr>
              <w:spacing w:after="0" w:line="240" w:lineRule="auto"/>
              <w:jc w:val="both"/>
              <w:rPr>
                <w:rFonts w:ascii="Arial Narrow" w:hAnsi="Arial Narrow"/>
                <w:color w:val="000000"/>
                <w:sz w:val="24"/>
                <w:szCs w:val="24"/>
              </w:rPr>
            </w:pPr>
          </w:p>
        </w:tc>
      </w:tr>
    </w:tbl>
    <w:p w:rsidR="000C4AB1" w:rsidRPr="007D68F2" w:rsidRDefault="000C4AB1" w:rsidP="000C4AB1">
      <w:pPr>
        <w:spacing w:after="0"/>
        <w:jc w:val="both"/>
        <w:rPr>
          <w:rFonts w:ascii="Arial Narrow" w:hAnsi="Arial Narrow"/>
          <w:sz w:val="24"/>
          <w:szCs w:val="24"/>
        </w:rPr>
      </w:pPr>
    </w:p>
    <w:p w:rsidR="000C4AB1" w:rsidRPr="007D68F2" w:rsidRDefault="000C4AB1" w:rsidP="000C4AB1">
      <w:pPr>
        <w:jc w:val="both"/>
        <w:rPr>
          <w:rFonts w:ascii="Arial Narrow" w:hAnsi="Arial Narrow"/>
          <w:sz w:val="24"/>
          <w:szCs w:val="24"/>
        </w:rPr>
      </w:pPr>
      <w:r w:rsidRPr="007D68F2">
        <w:rPr>
          <w:rFonts w:ascii="Arial Narrow" w:hAnsi="Arial Narrow"/>
          <w:sz w:val="24"/>
          <w:szCs w:val="24"/>
        </w:rPr>
        <w:t>To apportion impacts the costs in each year need to be converted to comparable constant prices as shown in Table 2. This process is outlined in the Constant Prices (</w:t>
      </w:r>
      <w:r w:rsidRPr="007D68F2">
        <w:rPr>
          <w:rFonts w:ascii="Arial Narrow" w:hAnsi="Arial Narrow"/>
          <w:b/>
          <w:sz w:val="24"/>
          <w:szCs w:val="24"/>
        </w:rPr>
        <w:t>ADD LINK)</w:t>
      </w:r>
      <w:r w:rsidRPr="007D68F2">
        <w:rPr>
          <w:rFonts w:ascii="Arial Narrow" w:hAnsi="Arial Narrow"/>
          <w:sz w:val="24"/>
          <w:szCs w:val="24"/>
        </w:rPr>
        <w:t xml:space="preserve"> section of the guidance. However, in essence it involves taking the appropriate year deflater and dividing this into the base year deflater (100) and then multiplying this by the relevant current price. For example, to express SE’s Year 2 current price contribution of £500,000 in constant prices is done by:-</w:t>
      </w:r>
    </w:p>
    <w:p w:rsidR="000C4AB1" w:rsidRPr="007D68F2" w:rsidRDefault="000C4AB1" w:rsidP="000C4AB1">
      <w:pPr>
        <w:jc w:val="center"/>
        <w:rPr>
          <w:rFonts w:ascii="Arial Narrow" w:hAnsi="Arial Narrow"/>
          <w:sz w:val="24"/>
          <w:szCs w:val="24"/>
        </w:rPr>
      </w:pPr>
      <w:r w:rsidRPr="007D68F2">
        <w:rPr>
          <w:rFonts w:ascii="Arial Narrow" w:hAnsi="Arial Narrow"/>
          <w:sz w:val="24"/>
          <w:szCs w:val="24"/>
        </w:rPr>
        <w:t>(100/105) X £500,000 = £476,190</w:t>
      </w:r>
    </w:p>
    <w:p w:rsidR="000C4AB1" w:rsidRPr="007D68F2" w:rsidRDefault="000C4AB1" w:rsidP="000C4AB1">
      <w:pPr>
        <w:jc w:val="both"/>
        <w:rPr>
          <w:rFonts w:ascii="Arial Narrow" w:hAnsi="Arial Narrow"/>
          <w:b/>
          <w:sz w:val="24"/>
          <w:szCs w:val="24"/>
          <w:u w:val="single"/>
        </w:rPr>
      </w:pPr>
      <w:r w:rsidRPr="007D68F2">
        <w:rPr>
          <w:rFonts w:ascii="Arial Narrow" w:hAnsi="Arial Narrow"/>
          <w:b/>
          <w:sz w:val="24"/>
          <w:szCs w:val="24"/>
        </w:rPr>
        <w:t>TABLE 2</w:t>
      </w:r>
      <w:r w:rsidRPr="007D68F2">
        <w:rPr>
          <w:rFonts w:ascii="Arial Narrow" w:hAnsi="Arial Narrow"/>
          <w:sz w:val="24"/>
          <w:szCs w:val="24"/>
        </w:rPr>
        <w:tab/>
      </w:r>
      <w:r w:rsidRPr="007D68F2">
        <w:rPr>
          <w:rFonts w:ascii="Arial Narrow" w:hAnsi="Arial Narrow"/>
          <w:sz w:val="24"/>
          <w:szCs w:val="24"/>
        </w:rPr>
        <w:tab/>
      </w:r>
      <w:r w:rsidRPr="007D68F2">
        <w:rPr>
          <w:rFonts w:ascii="Arial Narrow" w:hAnsi="Arial Narrow"/>
          <w:b/>
          <w:sz w:val="24"/>
          <w:szCs w:val="24"/>
          <w:u w:val="single"/>
        </w:rPr>
        <w:t>Intervention Partners’ Funding Profile – Constant Prices</w:t>
      </w:r>
    </w:p>
    <w:tbl>
      <w:tblPr>
        <w:tblW w:w="0" w:type="auto"/>
        <w:tblBorders>
          <w:top w:val="single" w:sz="8" w:space="0" w:color="4F81BD"/>
          <w:bottom w:val="single" w:sz="8" w:space="0" w:color="4F81BD"/>
        </w:tblBorders>
        <w:tblLook w:val="00A0"/>
      </w:tblPr>
      <w:tblGrid>
        <w:gridCol w:w="2093"/>
        <w:gridCol w:w="1429"/>
        <w:gridCol w:w="1430"/>
        <w:gridCol w:w="1430"/>
        <w:gridCol w:w="1430"/>
        <w:gridCol w:w="1430"/>
      </w:tblGrid>
      <w:tr w:rsidR="000C4AB1" w:rsidRPr="007D68F2" w:rsidTr="0047683B">
        <w:tc>
          <w:tcPr>
            <w:tcW w:w="2093" w:type="dxa"/>
            <w:tcBorders>
              <w:top w:val="single" w:sz="8" w:space="0" w:color="4F81BD"/>
              <w:left w:val="nil"/>
              <w:bottom w:val="single" w:sz="8" w:space="0" w:color="4F81BD"/>
              <w:right w:val="nil"/>
            </w:tcBorders>
          </w:tcPr>
          <w:p w:rsidR="000C4AB1" w:rsidRPr="007D68F2" w:rsidRDefault="000C4AB1" w:rsidP="0047683B">
            <w:pPr>
              <w:spacing w:after="0" w:line="240" w:lineRule="auto"/>
              <w:jc w:val="both"/>
              <w:rPr>
                <w:rFonts w:ascii="Arial Narrow" w:hAnsi="Arial Narrow"/>
                <w:b/>
                <w:bCs/>
                <w:color w:val="365F91"/>
                <w:sz w:val="24"/>
                <w:szCs w:val="24"/>
              </w:rPr>
            </w:pPr>
          </w:p>
        </w:tc>
        <w:tc>
          <w:tcPr>
            <w:tcW w:w="1429" w:type="dxa"/>
            <w:tcBorders>
              <w:top w:val="single" w:sz="8" w:space="0" w:color="4F81BD"/>
              <w:left w:val="nil"/>
              <w:bottom w:val="single" w:sz="8" w:space="0" w:color="4F81BD"/>
              <w:right w:val="nil"/>
            </w:tcBorders>
          </w:tcPr>
          <w:p w:rsidR="000C4AB1" w:rsidRPr="007D68F2" w:rsidRDefault="000C4AB1" w:rsidP="0047683B">
            <w:pPr>
              <w:spacing w:after="0" w:line="240" w:lineRule="auto"/>
              <w:jc w:val="both"/>
              <w:rPr>
                <w:rFonts w:ascii="Arial Narrow" w:hAnsi="Arial Narrow"/>
                <w:b/>
                <w:bCs/>
                <w:sz w:val="24"/>
                <w:szCs w:val="24"/>
              </w:rPr>
            </w:pPr>
            <w:r w:rsidRPr="007D68F2">
              <w:rPr>
                <w:rFonts w:ascii="Arial Narrow" w:hAnsi="Arial Narrow"/>
                <w:b/>
                <w:bCs/>
                <w:sz w:val="24"/>
                <w:szCs w:val="24"/>
              </w:rPr>
              <w:t>Year 1</w:t>
            </w:r>
          </w:p>
        </w:tc>
        <w:tc>
          <w:tcPr>
            <w:tcW w:w="1430" w:type="dxa"/>
            <w:tcBorders>
              <w:top w:val="single" w:sz="8" w:space="0" w:color="4F81BD"/>
              <w:left w:val="nil"/>
              <w:bottom w:val="single" w:sz="8" w:space="0" w:color="4F81BD"/>
              <w:right w:val="nil"/>
            </w:tcBorders>
          </w:tcPr>
          <w:p w:rsidR="000C4AB1" w:rsidRPr="007D68F2" w:rsidRDefault="000C4AB1" w:rsidP="0047683B">
            <w:pPr>
              <w:spacing w:after="0" w:line="240" w:lineRule="auto"/>
              <w:jc w:val="both"/>
              <w:rPr>
                <w:rFonts w:ascii="Arial Narrow" w:hAnsi="Arial Narrow"/>
                <w:b/>
                <w:bCs/>
                <w:sz w:val="24"/>
                <w:szCs w:val="24"/>
              </w:rPr>
            </w:pPr>
            <w:r w:rsidRPr="007D68F2">
              <w:rPr>
                <w:rFonts w:ascii="Arial Narrow" w:hAnsi="Arial Narrow"/>
                <w:b/>
                <w:bCs/>
                <w:sz w:val="24"/>
                <w:szCs w:val="24"/>
              </w:rPr>
              <w:t>Year 2</w:t>
            </w:r>
          </w:p>
        </w:tc>
        <w:tc>
          <w:tcPr>
            <w:tcW w:w="1430" w:type="dxa"/>
            <w:tcBorders>
              <w:top w:val="single" w:sz="8" w:space="0" w:color="4F81BD"/>
              <w:left w:val="nil"/>
              <w:bottom w:val="single" w:sz="8" w:space="0" w:color="4F81BD"/>
              <w:right w:val="nil"/>
            </w:tcBorders>
          </w:tcPr>
          <w:p w:rsidR="000C4AB1" w:rsidRPr="007D68F2" w:rsidRDefault="000C4AB1" w:rsidP="0047683B">
            <w:pPr>
              <w:spacing w:after="0" w:line="240" w:lineRule="auto"/>
              <w:jc w:val="both"/>
              <w:rPr>
                <w:rFonts w:ascii="Arial Narrow" w:hAnsi="Arial Narrow"/>
                <w:b/>
                <w:bCs/>
                <w:sz w:val="24"/>
                <w:szCs w:val="24"/>
              </w:rPr>
            </w:pPr>
            <w:r w:rsidRPr="007D68F2">
              <w:rPr>
                <w:rFonts w:ascii="Arial Narrow" w:hAnsi="Arial Narrow"/>
                <w:b/>
                <w:bCs/>
                <w:sz w:val="24"/>
                <w:szCs w:val="24"/>
              </w:rPr>
              <w:t>Year 3</w:t>
            </w:r>
          </w:p>
        </w:tc>
        <w:tc>
          <w:tcPr>
            <w:tcW w:w="1430" w:type="dxa"/>
            <w:tcBorders>
              <w:top w:val="single" w:sz="8" w:space="0" w:color="4F81BD"/>
              <w:left w:val="nil"/>
              <w:bottom w:val="single" w:sz="8" w:space="0" w:color="4F81BD"/>
              <w:right w:val="nil"/>
            </w:tcBorders>
          </w:tcPr>
          <w:p w:rsidR="000C4AB1" w:rsidRPr="007D68F2" w:rsidRDefault="000C4AB1" w:rsidP="0047683B">
            <w:pPr>
              <w:spacing w:after="0" w:line="240" w:lineRule="auto"/>
              <w:jc w:val="both"/>
              <w:rPr>
                <w:rFonts w:ascii="Arial Narrow" w:hAnsi="Arial Narrow"/>
                <w:b/>
                <w:bCs/>
                <w:sz w:val="24"/>
                <w:szCs w:val="24"/>
              </w:rPr>
            </w:pPr>
            <w:r w:rsidRPr="007D68F2">
              <w:rPr>
                <w:rFonts w:ascii="Arial Narrow" w:hAnsi="Arial Narrow"/>
                <w:b/>
                <w:bCs/>
                <w:sz w:val="24"/>
                <w:szCs w:val="24"/>
              </w:rPr>
              <w:t>Year 4</w:t>
            </w:r>
          </w:p>
        </w:tc>
        <w:tc>
          <w:tcPr>
            <w:tcW w:w="1430" w:type="dxa"/>
            <w:tcBorders>
              <w:top w:val="single" w:sz="8" w:space="0" w:color="4F81BD"/>
              <w:left w:val="nil"/>
              <w:bottom w:val="single" w:sz="8" w:space="0" w:color="4F81BD"/>
              <w:right w:val="nil"/>
            </w:tcBorders>
          </w:tcPr>
          <w:p w:rsidR="000C4AB1" w:rsidRPr="007D68F2" w:rsidRDefault="000C4AB1" w:rsidP="0047683B">
            <w:pPr>
              <w:spacing w:after="0" w:line="240" w:lineRule="auto"/>
              <w:jc w:val="both"/>
              <w:rPr>
                <w:rFonts w:ascii="Arial Narrow" w:hAnsi="Arial Narrow"/>
                <w:b/>
                <w:bCs/>
                <w:sz w:val="24"/>
                <w:szCs w:val="24"/>
              </w:rPr>
            </w:pPr>
            <w:r w:rsidRPr="007D68F2">
              <w:rPr>
                <w:rFonts w:ascii="Arial Narrow" w:hAnsi="Arial Narrow"/>
                <w:b/>
                <w:bCs/>
                <w:sz w:val="24"/>
                <w:szCs w:val="24"/>
              </w:rPr>
              <w:t>Total</w:t>
            </w:r>
          </w:p>
        </w:tc>
      </w:tr>
      <w:tr w:rsidR="000C4AB1" w:rsidRPr="007D68F2" w:rsidTr="0047683B">
        <w:tc>
          <w:tcPr>
            <w:tcW w:w="2093" w:type="dxa"/>
            <w:tcBorders>
              <w:left w:val="nil"/>
              <w:right w:val="nil"/>
            </w:tcBorders>
            <w:shd w:val="clear" w:color="auto" w:fill="D3DFEE"/>
          </w:tcPr>
          <w:p w:rsidR="000C4AB1" w:rsidRPr="007D68F2" w:rsidRDefault="000C4AB1" w:rsidP="0047683B">
            <w:pPr>
              <w:spacing w:after="0" w:line="240" w:lineRule="auto"/>
              <w:jc w:val="both"/>
              <w:rPr>
                <w:rFonts w:ascii="Arial Narrow" w:hAnsi="Arial Narrow"/>
                <w:b/>
                <w:bCs/>
                <w:sz w:val="24"/>
                <w:szCs w:val="24"/>
              </w:rPr>
            </w:pPr>
            <w:r w:rsidRPr="007D68F2">
              <w:rPr>
                <w:rFonts w:ascii="Arial Narrow" w:hAnsi="Arial Narrow"/>
                <w:bCs/>
                <w:sz w:val="24"/>
                <w:szCs w:val="24"/>
              </w:rPr>
              <w:t xml:space="preserve">SE Funding </w:t>
            </w:r>
          </w:p>
        </w:tc>
        <w:tc>
          <w:tcPr>
            <w:tcW w:w="1429" w:type="dxa"/>
            <w:tcBorders>
              <w:left w:val="nil"/>
              <w:right w:val="nil"/>
            </w:tcBorders>
            <w:shd w:val="clear" w:color="auto" w:fill="D3DFEE"/>
          </w:tcPr>
          <w:p w:rsidR="000C4AB1" w:rsidRPr="007D68F2" w:rsidRDefault="000C4AB1" w:rsidP="0047683B">
            <w:pPr>
              <w:spacing w:after="0" w:line="240" w:lineRule="auto"/>
              <w:jc w:val="both"/>
              <w:rPr>
                <w:rFonts w:ascii="Arial Narrow" w:hAnsi="Arial Narrow"/>
                <w:color w:val="000000"/>
                <w:sz w:val="24"/>
                <w:szCs w:val="24"/>
              </w:rPr>
            </w:pPr>
            <w:r w:rsidRPr="007D68F2">
              <w:rPr>
                <w:rFonts w:ascii="Arial Narrow" w:hAnsi="Arial Narrow"/>
                <w:color w:val="000000"/>
                <w:sz w:val="24"/>
                <w:szCs w:val="24"/>
              </w:rPr>
              <w:t>£800,000</w:t>
            </w:r>
          </w:p>
        </w:tc>
        <w:tc>
          <w:tcPr>
            <w:tcW w:w="1430" w:type="dxa"/>
            <w:tcBorders>
              <w:left w:val="nil"/>
              <w:right w:val="nil"/>
            </w:tcBorders>
            <w:shd w:val="clear" w:color="auto" w:fill="D3DFEE"/>
          </w:tcPr>
          <w:p w:rsidR="000C4AB1" w:rsidRPr="007D68F2" w:rsidRDefault="000C4AB1" w:rsidP="0047683B">
            <w:pPr>
              <w:spacing w:after="0" w:line="240" w:lineRule="auto"/>
              <w:jc w:val="both"/>
              <w:rPr>
                <w:rFonts w:ascii="Arial Narrow" w:hAnsi="Arial Narrow"/>
                <w:color w:val="000000"/>
                <w:sz w:val="24"/>
                <w:szCs w:val="24"/>
              </w:rPr>
            </w:pPr>
            <w:r w:rsidRPr="007D68F2">
              <w:rPr>
                <w:rFonts w:ascii="Arial Narrow" w:hAnsi="Arial Narrow"/>
                <w:color w:val="000000"/>
                <w:sz w:val="24"/>
                <w:szCs w:val="24"/>
              </w:rPr>
              <w:t>£476,190</w:t>
            </w:r>
          </w:p>
        </w:tc>
        <w:tc>
          <w:tcPr>
            <w:tcW w:w="1430" w:type="dxa"/>
            <w:tcBorders>
              <w:left w:val="nil"/>
              <w:right w:val="nil"/>
            </w:tcBorders>
            <w:shd w:val="clear" w:color="auto" w:fill="D3DFEE"/>
          </w:tcPr>
          <w:p w:rsidR="000C4AB1" w:rsidRPr="007D68F2" w:rsidRDefault="000C4AB1" w:rsidP="0047683B">
            <w:pPr>
              <w:spacing w:after="0" w:line="240" w:lineRule="auto"/>
              <w:jc w:val="both"/>
              <w:rPr>
                <w:rFonts w:ascii="Arial Narrow" w:hAnsi="Arial Narrow"/>
                <w:color w:val="000000"/>
                <w:sz w:val="24"/>
                <w:szCs w:val="24"/>
              </w:rPr>
            </w:pPr>
            <w:r w:rsidRPr="007D68F2">
              <w:rPr>
                <w:rFonts w:ascii="Arial Narrow" w:hAnsi="Arial Narrow"/>
                <w:color w:val="000000"/>
                <w:sz w:val="24"/>
                <w:szCs w:val="24"/>
              </w:rPr>
              <w:t>£90,090</w:t>
            </w:r>
          </w:p>
        </w:tc>
        <w:tc>
          <w:tcPr>
            <w:tcW w:w="1430" w:type="dxa"/>
            <w:tcBorders>
              <w:left w:val="nil"/>
              <w:right w:val="nil"/>
            </w:tcBorders>
            <w:shd w:val="clear" w:color="auto" w:fill="D3DFEE"/>
          </w:tcPr>
          <w:p w:rsidR="000C4AB1" w:rsidRPr="007D68F2" w:rsidRDefault="000C4AB1" w:rsidP="0047683B">
            <w:pPr>
              <w:spacing w:after="0" w:line="240" w:lineRule="auto"/>
              <w:jc w:val="both"/>
              <w:rPr>
                <w:rFonts w:ascii="Arial Narrow" w:hAnsi="Arial Narrow"/>
                <w:color w:val="000000"/>
                <w:sz w:val="24"/>
                <w:szCs w:val="24"/>
              </w:rPr>
            </w:pPr>
            <w:r w:rsidRPr="007D68F2">
              <w:rPr>
                <w:rFonts w:ascii="Arial Narrow" w:hAnsi="Arial Narrow"/>
                <w:color w:val="000000"/>
                <w:sz w:val="24"/>
                <w:szCs w:val="24"/>
              </w:rPr>
              <w:t>£83,333</w:t>
            </w:r>
          </w:p>
        </w:tc>
        <w:tc>
          <w:tcPr>
            <w:tcW w:w="1430" w:type="dxa"/>
            <w:tcBorders>
              <w:left w:val="nil"/>
              <w:right w:val="nil"/>
            </w:tcBorders>
            <w:shd w:val="clear" w:color="auto" w:fill="D3DFEE"/>
          </w:tcPr>
          <w:p w:rsidR="000C4AB1" w:rsidRPr="007D68F2" w:rsidRDefault="000C4AB1" w:rsidP="0047683B">
            <w:pPr>
              <w:spacing w:after="0" w:line="240" w:lineRule="auto"/>
              <w:jc w:val="both"/>
              <w:rPr>
                <w:rFonts w:ascii="Arial Narrow" w:hAnsi="Arial Narrow"/>
                <w:color w:val="000000"/>
                <w:sz w:val="24"/>
                <w:szCs w:val="24"/>
              </w:rPr>
            </w:pPr>
            <w:r w:rsidRPr="007D68F2">
              <w:rPr>
                <w:rFonts w:ascii="Arial Narrow" w:hAnsi="Arial Narrow"/>
                <w:color w:val="000000"/>
                <w:sz w:val="24"/>
                <w:szCs w:val="24"/>
              </w:rPr>
              <w:t xml:space="preserve">£1,449,613   </w:t>
            </w:r>
          </w:p>
        </w:tc>
      </w:tr>
      <w:tr w:rsidR="000C4AB1" w:rsidRPr="007D68F2" w:rsidTr="0047683B">
        <w:tc>
          <w:tcPr>
            <w:tcW w:w="2093" w:type="dxa"/>
          </w:tcPr>
          <w:p w:rsidR="000C4AB1" w:rsidRPr="007D68F2" w:rsidRDefault="000C4AB1" w:rsidP="0047683B">
            <w:pPr>
              <w:spacing w:after="0" w:line="240" w:lineRule="auto"/>
              <w:jc w:val="both"/>
              <w:rPr>
                <w:rFonts w:ascii="Arial Narrow" w:hAnsi="Arial Narrow"/>
                <w:b/>
                <w:bCs/>
                <w:sz w:val="24"/>
                <w:szCs w:val="24"/>
              </w:rPr>
            </w:pPr>
            <w:r w:rsidRPr="007D68F2">
              <w:rPr>
                <w:rFonts w:ascii="Arial Narrow" w:hAnsi="Arial Narrow"/>
                <w:bCs/>
                <w:sz w:val="24"/>
                <w:szCs w:val="24"/>
              </w:rPr>
              <w:t xml:space="preserve">HIE Funding </w:t>
            </w:r>
          </w:p>
        </w:tc>
        <w:tc>
          <w:tcPr>
            <w:tcW w:w="1429" w:type="dxa"/>
          </w:tcPr>
          <w:p w:rsidR="000C4AB1" w:rsidRPr="007D68F2" w:rsidRDefault="000C4AB1" w:rsidP="0047683B">
            <w:pPr>
              <w:spacing w:after="0" w:line="240" w:lineRule="auto"/>
              <w:jc w:val="both"/>
              <w:rPr>
                <w:rFonts w:ascii="Arial Narrow" w:hAnsi="Arial Narrow"/>
                <w:color w:val="000000"/>
                <w:sz w:val="24"/>
                <w:szCs w:val="24"/>
              </w:rPr>
            </w:pPr>
            <w:r w:rsidRPr="007D68F2">
              <w:rPr>
                <w:rFonts w:ascii="Arial Narrow" w:hAnsi="Arial Narrow"/>
                <w:color w:val="000000"/>
                <w:sz w:val="24"/>
                <w:szCs w:val="24"/>
              </w:rPr>
              <w:t>£500,000</w:t>
            </w:r>
          </w:p>
        </w:tc>
        <w:tc>
          <w:tcPr>
            <w:tcW w:w="1430" w:type="dxa"/>
          </w:tcPr>
          <w:p w:rsidR="000C4AB1" w:rsidRPr="007D68F2" w:rsidRDefault="000C4AB1" w:rsidP="0047683B">
            <w:pPr>
              <w:spacing w:after="0" w:line="240" w:lineRule="auto"/>
              <w:jc w:val="both"/>
              <w:rPr>
                <w:rFonts w:ascii="Arial Narrow" w:hAnsi="Arial Narrow"/>
                <w:color w:val="000000"/>
                <w:sz w:val="24"/>
                <w:szCs w:val="24"/>
              </w:rPr>
            </w:pPr>
            <w:r w:rsidRPr="007D68F2">
              <w:rPr>
                <w:rFonts w:ascii="Arial Narrow" w:hAnsi="Arial Narrow"/>
                <w:color w:val="000000"/>
                <w:sz w:val="24"/>
                <w:szCs w:val="24"/>
              </w:rPr>
              <w:t>£476,190</w:t>
            </w:r>
          </w:p>
        </w:tc>
        <w:tc>
          <w:tcPr>
            <w:tcW w:w="1430" w:type="dxa"/>
          </w:tcPr>
          <w:p w:rsidR="000C4AB1" w:rsidRPr="007D68F2" w:rsidRDefault="000C4AB1" w:rsidP="0047683B">
            <w:pPr>
              <w:spacing w:after="0" w:line="240" w:lineRule="auto"/>
              <w:jc w:val="both"/>
              <w:rPr>
                <w:rFonts w:ascii="Arial Narrow" w:hAnsi="Arial Narrow"/>
                <w:color w:val="000000"/>
                <w:sz w:val="24"/>
                <w:szCs w:val="24"/>
              </w:rPr>
            </w:pPr>
            <w:r w:rsidRPr="007D68F2">
              <w:rPr>
                <w:rFonts w:ascii="Arial Narrow" w:hAnsi="Arial Narrow"/>
                <w:color w:val="000000"/>
                <w:sz w:val="24"/>
                <w:szCs w:val="24"/>
              </w:rPr>
              <w:t>£450,450</w:t>
            </w:r>
          </w:p>
        </w:tc>
        <w:tc>
          <w:tcPr>
            <w:tcW w:w="1430" w:type="dxa"/>
          </w:tcPr>
          <w:p w:rsidR="000C4AB1" w:rsidRPr="007D68F2" w:rsidRDefault="000C4AB1" w:rsidP="0047683B">
            <w:pPr>
              <w:spacing w:after="0" w:line="240" w:lineRule="auto"/>
              <w:jc w:val="both"/>
              <w:rPr>
                <w:rFonts w:ascii="Arial Narrow" w:hAnsi="Arial Narrow"/>
                <w:color w:val="000000"/>
                <w:sz w:val="24"/>
                <w:szCs w:val="24"/>
              </w:rPr>
            </w:pPr>
          </w:p>
        </w:tc>
        <w:tc>
          <w:tcPr>
            <w:tcW w:w="1430" w:type="dxa"/>
          </w:tcPr>
          <w:p w:rsidR="000C4AB1" w:rsidRPr="007D68F2" w:rsidRDefault="000C4AB1" w:rsidP="0047683B">
            <w:pPr>
              <w:spacing w:after="0" w:line="240" w:lineRule="auto"/>
              <w:jc w:val="both"/>
              <w:rPr>
                <w:rFonts w:ascii="Arial Narrow" w:hAnsi="Arial Narrow"/>
                <w:color w:val="000000"/>
                <w:sz w:val="24"/>
                <w:szCs w:val="24"/>
              </w:rPr>
            </w:pPr>
            <w:r w:rsidRPr="007D68F2">
              <w:rPr>
                <w:rFonts w:ascii="Arial Narrow" w:hAnsi="Arial Narrow"/>
                <w:color w:val="000000"/>
                <w:sz w:val="24"/>
                <w:szCs w:val="24"/>
              </w:rPr>
              <w:t>£1,426,640</w:t>
            </w:r>
          </w:p>
        </w:tc>
      </w:tr>
      <w:tr w:rsidR="000C4AB1" w:rsidRPr="007D68F2" w:rsidTr="0047683B">
        <w:tc>
          <w:tcPr>
            <w:tcW w:w="2093" w:type="dxa"/>
            <w:tcBorders>
              <w:left w:val="nil"/>
              <w:right w:val="nil"/>
            </w:tcBorders>
            <w:shd w:val="clear" w:color="auto" w:fill="D3DFEE"/>
          </w:tcPr>
          <w:p w:rsidR="000C4AB1" w:rsidRPr="007D68F2" w:rsidRDefault="000C4AB1" w:rsidP="0047683B">
            <w:pPr>
              <w:spacing w:after="0" w:line="240" w:lineRule="auto"/>
              <w:jc w:val="both"/>
              <w:rPr>
                <w:rFonts w:ascii="Arial Narrow" w:hAnsi="Arial Narrow"/>
                <w:b/>
                <w:bCs/>
                <w:sz w:val="24"/>
                <w:szCs w:val="24"/>
              </w:rPr>
            </w:pPr>
            <w:r w:rsidRPr="007D68F2">
              <w:rPr>
                <w:rFonts w:ascii="Arial Narrow" w:hAnsi="Arial Narrow"/>
                <w:bCs/>
                <w:sz w:val="24"/>
                <w:szCs w:val="24"/>
              </w:rPr>
              <w:t xml:space="preserve">ERDF Funding </w:t>
            </w:r>
          </w:p>
        </w:tc>
        <w:tc>
          <w:tcPr>
            <w:tcW w:w="1429" w:type="dxa"/>
            <w:tcBorders>
              <w:left w:val="nil"/>
              <w:right w:val="nil"/>
            </w:tcBorders>
            <w:shd w:val="clear" w:color="auto" w:fill="D3DFEE"/>
          </w:tcPr>
          <w:p w:rsidR="000C4AB1" w:rsidRPr="007D68F2" w:rsidRDefault="000C4AB1" w:rsidP="0047683B">
            <w:pPr>
              <w:spacing w:after="0" w:line="240" w:lineRule="auto"/>
              <w:jc w:val="both"/>
              <w:rPr>
                <w:rFonts w:ascii="Arial Narrow" w:hAnsi="Arial Narrow"/>
                <w:color w:val="000000"/>
                <w:sz w:val="24"/>
                <w:szCs w:val="24"/>
              </w:rPr>
            </w:pPr>
            <w:r w:rsidRPr="007D68F2">
              <w:rPr>
                <w:rFonts w:ascii="Arial Narrow" w:hAnsi="Arial Narrow"/>
                <w:color w:val="000000"/>
                <w:sz w:val="24"/>
                <w:szCs w:val="24"/>
              </w:rPr>
              <w:t>£1,300,000</w:t>
            </w:r>
          </w:p>
        </w:tc>
        <w:tc>
          <w:tcPr>
            <w:tcW w:w="1430" w:type="dxa"/>
            <w:tcBorders>
              <w:left w:val="nil"/>
              <w:right w:val="nil"/>
            </w:tcBorders>
            <w:shd w:val="clear" w:color="auto" w:fill="D3DFEE"/>
          </w:tcPr>
          <w:p w:rsidR="000C4AB1" w:rsidRPr="007D68F2" w:rsidRDefault="000C4AB1" w:rsidP="0047683B">
            <w:pPr>
              <w:spacing w:after="0" w:line="240" w:lineRule="auto"/>
              <w:jc w:val="both"/>
              <w:rPr>
                <w:rFonts w:ascii="Arial Narrow" w:hAnsi="Arial Narrow"/>
                <w:color w:val="000000"/>
                <w:sz w:val="24"/>
                <w:szCs w:val="24"/>
              </w:rPr>
            </w:pPr>
            <w:r w:rsidRPr="007D68F2">
              <w:rPr>
                <w:rFonts w:ascii="Arial Narrow" w:hAnsi="Arial Narrow"/>
                <w:color w:val="000000"/>
                <w:sz w:val="24"/>
                <w:szCs w:val="24"/>
              </w:rPr>
              <w:t>£952,381</w:t>
            </w:r>
          </w:p>
        </w:tc>
        <w:tc>
          <w:tcPr>
            <w:tcW w:w="1430" w:type="dxa"/>
            <w:tcBorders>
              <w:left w:val="nil"/>
              <w:right w:val="nil"/>
            </w:tcBorders>
            <w:shd w:val="clear" w:color="auto" w:fill="D3DFEE"/>
          </w:tcPr>
          <w:p w:rsidR="000C4AB1" w:rsidRPr="007D68F2" w:rsidRDefault="000C4AB1" w:rsidP="0047683B">
            <w:pPr>
              <w:spacing w:after="0" w:line="240" w:lineRule="auto"/>
              <w:jc w:val="both"/>
              <w:rPr>
                <w:rFonts w:ascii="Arial Narrow" w:hAnsi="Arial Narrow"/>
                <w:color w:val="000000"/>
                <w:sz w:val="24"/>
                <w:szCs w:val="24"/>
              </w:rPr>
            </w:pPr>
            <w:r w:rsidRPr="007D68F2">
              <w:rPr>
                <w:rFonts w:ascii="Arial Narrow" w:hAnsi="Arial Narrow"/>
                <w:color w:val="000000"/>
                <w:sz w:val="24"/>
                <w:szCs w:val="24"/>
              </w:rPr>
              <w:t>£630,631</w:t>
            </w:r>
          </w:p>
        </w:tc>
        <w:tc>
          <w:tcPr>
            <w:tcW w:w="1430" w:type="dxa"/>
            <w:tcBorders>
              <w:left w:val="nil"/>
              <w:right w:val="nil"/>
            </w:tcBorders>
            <w:shd w:val="clear" w:color="auto" w:fill="D3DFEE"/>
          </w:tcPr>
          <w:p w:rsidR="000C4AB1" w:rsidRPr="007D68F2" w:rsidRDefault="000C4AB1" w:rsidP="0047683B">
            <w:pPr>
              <w:spacing w:after="0" w:line="240" w:lineRule="auto"/>
              <w:jc w:val="both"/>
              <w:rPr>
                <w:rFonts w:ascii="Arial Narrow" w:hAnsi="Arial Narrow"/>
                <w:color w:val="000000"/>
                <w:sz w:val="24"/>
                <w:szCs w:val="24"/>
              </w:rPr>
            </w:pPr>
          </w:p>
        </w:tc>
        <w:tc>
          <w:tcPr>
            <w:tcW w:w="1430" w:type="dxa"/>
            <w:tcBorders>
              <w:left w:val="nil"/>
              <w:right w:val="nil"/>
            </w:tcBorders>
            <w:shd w:val="clear" w:color="auto" w:fill="D3DFEE"/>
          </w:tcPr>
          <w:p w:rsidR="000C4AB1" w:rsidRPr="007D68F2" w:rsidRDefault="000C4AB1" w:rsidP="0047683B">
            <w:pPr>
              <w:spacing w:after="0" w:line="240" w:lineRule="auto"/>
              <w:jc w:val="both"/>
              <w:rPr>
                <w:rFonts w:ascii="Arial Narrow" w:hAnsi="Arial Narrow"/>
                <w:color w:val="000000"/>
                <w:sz w:val="24"/>
                <w:szCs w:val="24"/>
              </w:rPr>
            </w:pPr>
            <w:r w:rsidRPr="007D68F2">
              <w:rPr>
                <w:rFonts w:ascii="Arial Narrow" w:hAnsi="Arial Narrow"/>
                <w:color w:val="000000"/>
                <w:sz w:val="24"/>
                <w:szCs w:val="24"/>
              </w:rPr>
              <w:t>£2,883,012</w:t>
            </w:r>
          </w:p>
        </w:tc>
      </w:tr>
      <w:tr w:rsidR="000C4AB1" w:rsidRPr="007D68F2" w:rsidTr="0047683B">
        <w:tc>
          <w:tcPr>
            <w:tcW w:w="2093" w:type="dxa"/>
            <w:tcBorders>
              <w:bottom w:val="single" w:sz="8" w:space="0" w:color="4F81BD"/>
            </w:tcBorders>
          </w:tcPr>
          <w:p w:rsidR="000C4AB1" w:rsidRPr="007D68F2" w:rsidRDefault="000C4AB1" w:rsidP="0047683B">
            <w:pPr>
              <w:spacing w:after="0" w:line="240" w:lineRule="auto"/>
              <w:jc w:val="both"/>
              <w:rPr>
                <w:rFonts w:ascii="Arial Narrow" w:hAnsi="Arial Narrow"/>
                <w:b/>
                <w:bCs/>
                <w:sz w:val="24"/>
                <w:szCs w:val="24"/>
              </w:rPr>
            </w:pPr>
            <w:r w:rsidRPr="007D68F2">
              <w:rPr>
                <w:rFonts w:ascii="Arial Narrow" w:hAnsi="Arial Narrow"/>
                <w:bCs/>
                <w:sz w:val="24"/>
                <w:szCs w:val="24"/>
              </w:rPr>
              <w:t>Total Funding</w:t>
            </w:r>
          </w:p>
        </w:tc>
        <w:tc>
          <w:tcPr>
            <w:tcW w:w="1429" w:type="dxa"/>
            <w:tcBorders>
              <w:bottom w:val="single" w:sz="8" w:space="0" w:color="4F81BD"/>
            </w:tcBorders>
          </w:tcPr>
          <w:p w:rsidR="000C4AB1" w:rsidRPr="007D68F2" w:rsidRDefault="000C4AB1" w:rsidP="0047683B">
            <w:pPr>
              <w:spacing w:after="0" w:line="240" w:lineRule="auto"/>
              <w:jc w:val="both"/>
              <w:rPr>
                <w:rFonts w:ascii="Arial Narrow" w:hAnsi="Arial Narrow"/>
                <w:color w:val="000000"/>
                <w:sz w:val="24"/>
                <w:szCs w:val="24"/>
              </w:rPr>
            </w:pPr>
            <w:r w:rsidRPr="007D68F2">
              <w:rPr>
                <w:rFonts w:ascii="Arial Narrow" w:hAnsi="Arial Narrow"/>
                <w:color w:val="000000"/>
                <w:sz w:val="24"/>
                <w:szCs w:val="24"/>
              </w:rPr>
              <w:t>£2,600,000</w:t>
            </w:r>
          </w:p>
        </w:tc>
        <w:tc>
          <w:tcPr>
            <w:tcW w:w="1430" w:type="dxa"/>
            <w:tcBorders>
              <w:bottom w:val="single" w:sz="8" w:space="0" w:color="4F81BD"/>
            </w:tcBorders>
          </w:tcPr>
          <w:p w:rsidR="000C4AB1" w:rsidRPr="007D68F2" w:rsidRDefault="000C4AB1" w:rsidP="0047683B">
            <w:pPr>
              <w:spacing w:after="0" w:line="240" w:lineRule="auto"/>
              <w:jc w:val="both"/>
              <w:rPr>
                <w:rFonts w:ascii="Arial Narrow" w:hAnsi="Arial Narrow"/>
                <w:color w:val="000000"/>
                <w:sz w:val="24"/>
                <w:szCs w:val="24"/>
              </w:rPr>
            </w:pPr>
            <w:r w:rsidRPr="007D68F2">
              <w:rPr>
                <w:rFonts w:ascii="Arial Narrow" w:hAnsi="Arial Narrow"/>
                <w:color w:val="000000"/>
                <w:sz w:val="24"/>
                <w:szCs w:val="24"/>
              </w:rPr>
              <w:t>£1,904,761</w:t>
            </w:r>
          </w:p>
        </w:tc>
        <w:tc>
          <w:tcPr>
            <w:tcW w:w="1430" w:type="dxa"/>
            <w:tcBorders>
              <w:bottom w:val="single" w:sz="8" w:space="0" w:color="4F81BD"/>
            </w:tcBorders>
          </w:tcPr>
          <w:p w:rsidR="000C4AB1" w:rsidRPr="007D68F2" w:rsidRDefault="000C4AB1" w:rsidP="0047683B">
            <w:pPr>
              <w:spacing w:after="0" w:line="240" w:lineRule="auto"/>
              <w:jc w:val="both"/>
              <w:rPr>
                <w:rFonts w:ascii="Arial Narrow" w:hAnsi="Arial Narrow"/>
                <w:color w:val="000000"/>
                <w:sz w:val="24"/>
                <w:szCs w:val="24"/>
              </w:rPr>
            </w:pPr>
            <w:r w:rsidRPr="007D68F2">
              <w:rPr>
                <w:rFonts w:ascii="Arial Narrow" w:hAnsi="Arial Narrow"/>
                <w:color w:val="000000"/>
                <w:sz w:val="24"/>
                <w:szCs w:val="24"/>
              </w:rPr>
              <w:t xml:space="preserve">£1,171,171  </w:t>
            </w:r>
          </w:p>
        </w:tc>
        <w:tc>
          <w:tcPr>
            <w:tcW w:w="1430" w:type="dxa"/>
            <w:tcBorders>
              <w:bottom w:val="single" w:sz="8" w:space="0" w:color="4F81BD"/>
            </w:tcBorders>
          </w:tcPr>
          <w:p w:rsidR="000C4AB1" w:rsidRPr="007D68F2" w:rsidRDefault="000C4AB1" w:rsidP="0047683B">
            <w:pPr>
              <w:spacing w:after="0" w:line="240" w:lineRule="auto"/>
              <w:jc w:val="both"/>
              <w:rPr>
                <w:rFonts w:ascii="Arial Narrow" w:hAnsi="Arial Narrow"/>
                <w:color w:val="000000"/>
                <w:sz w:val="24"/>
                <w:szCs w:val="24"/>
              </w:rPr>
            </w:pPr>
            <w:r w:rsidRPr="007D68F2">
              <w:rPr>
                <w:rFonts w:ascii="Arial Narrow" w:hAnsi="Arial Narrow"/>
                <w:color w:val="000000"/>
                <w:sz w:val="24"/>
                <w:szCs w:val="24"/>
              </w:rPr>
              <w:t xml:space="preserve">£83,333  </w:t>
            </w:r>
          </w:p>
        </w:tc>
        <w:tc>
          <w:tcPr>
            <w:tcW w:w="1430" w:type="dxa"/>
            <w:tcBorders>
              <w:bottom w:val="single" w:sz="8" w:space="0" w:color="4F81BD"/>
            </w:tcBorders>
          </w:tcPr>
          <w:p w:rsidR="000C4AB1" w:rsidRPr="007D68F2" w:rsidRDefault="000C4AB1" w:rsidP="0047683B">
            <w:pPr>
              <w:spacing w:after="0" w:line="240" w:lineRule="auto"/>
              <w:jc w:val="both"/>
              <w:rPr>
                <w:rFonts w:ascii="Arial Narrow" w:hAnsi="Arial Narrow"/>
                <w:color w:val="000000"/>
                <w:sz w:val="24"/>
                <w:szCs w:val="24"/>
              </w:rPr>
            </w:pPr>
            <w:r w:rsidRPr="007D68F2">
              <w:rPr>
                <w:rFonts w:ascii="Arial Narrow" w:hAnsi="Arial Narrow"/>
                <w:color w:val="000000"/>
                <w:sz w:val="24"/>
                <w:szCs w:val="24"/>
              </w:rPr>
              <w:t xml:space="preserve">£5,759,265 </w:t>
            </w:r>
          </w:p>
        </w:tc>
      </w:tr>
    </w:tbl>
    <w:p w:rsidR="000C4AB1" w:rsidRPr="007D68F2" w:rsidRDefault="000C4AB1" w:rsidP="000C4AB1">
      <w:pPr>
        <w:jc w:val="both"/>
        <w:rPr>
          <w:rFonts w:ascii="Arial Narrow" w:hAnsi="Arial Narrow"/>
          <w:sz w:val="24"/>
          <w:szCs w:val="24"/>
        </w:rPr>
      </w:pPr>
    </w:p>
    <w:p w:rsidR="000C4AB1" w:rsidRPr="007D68F2" w:rsidRDefault="000C4AB1" w:rsidP="000C4AB1">
      <w:pPr>
        <w:jc w:val="both"/>
        <w:rPr>
          <w:rFonts w:ascii="Arial Narrow" w:hAnsi="Arial Narrow"/>
          <w:sz w:val="24"/>
          <w:szCs w:val="24"/>
        </w:rPr>
      </w:pPr>
      <w:r w:rsidRPr="007D68F2">
        <w:rPr>
          <w:rFonts w:ascii="Arial Narrow" w:hAnsi="Arial Narrow"/>
          <w:sz w:val="24"/>
          <w:szCs w:val="24"/>
        </w:rPr>
        <w:t xml:space="preserve">The net GVA impact can then be apportioned to the partners according to the total share of the £5.759 million funding package they account for. This is based on the formula </w:t>
      </w:r>
    </w:p>
    <w:p w:rsidR="000C4AB1" w:rsidRPr="007D68F2" w:rsidRDefault="000C4AB1" w:rsidP="000C4AB1">
      <w:pPr>
        <w:jc w:val="center"/>
        <w:rPr>
          <w:rFonts w:ascii="Arial Narrow" w:hAnsi="Arial Narrow"/>
          <w:sz w:val="24"/>
          <w:szCs w:val="24"/>
        </w:rPr>
      </w:pPr>
      <w:r w:rsidRPr="007D68F2">
        <w:rPr>
          <w:rFonts w:ascii="Arial Narrow" w:hAnsi="Arial Narrow"/>
          <w:sz w:val="24"/>
          <w:szCs w:val="24"/>
        </w:rPr>
        <w:t>Impact share = (V</w:t>
      </w:r>
      <w:r w:rsidRPr="007D68F2">
        <w:rPr>
          <w:rFonts w:ascii="Arial Narrow" w:hAnsi="Arial Narrow"/>
          <w:sz w:val="24"/>
          <w:szCs w:val="24"/>
          <w:vertAlign w:val="subscript"/>
        </w:rPr>
        <w:t>i</w:t>
      </w:r>
      <w:r w:rsidRPr="007D68F2">
        <w:rPr>
          <w:rFonts w:ascii="Arial Narrow" w:hAnsi="Arial Narrow"/>
          <w:sz w:val="24"/>
          <w:szCs w:val="24"/>
        </w:rPr>
        <w:t>/TV) * 100</w:t>
      </w:r>
    </w:p>
    <w:p w:rsidR="000C4AB1" w:rsidRPr="007D68F2" w:rsidRDefault="000C4AB1" w:rsidP="000C4AB1">
      <w:pPr>
        <w:jc w:val="both"/>
        <w:rPr>
          <w:rFonts w:ascii="Arial Narrow" w:hAnsi="Arial Narrow"/>
          <w:sz w:val="24"/>
          <w:szCs w:val="24"/>
        </w:rPr>
      </w:pPr>
      <w:r w:rsidRPr="007D68F2">
        <w:rPr>
          <w:rFonts w:ascii="Arial Narrow" w:hAnsi="Arial Narrow"/>
          <w:sz w:val="24"/>
          <w:szCs w:val="24"/>
        </w:rPr>
        <w:t>Where:-</w:t>
      </w:r>
    </w:p>
    <w:p w:rsidR="000C4AB1" w:rsidRPr="007D68F2" w:rsidRDefault="000C4AB1" w:rsidP="000C4AB1">
      <w:pPr>
        <w:numPr>
          <w:ilvl w:val="0"/>
          <w:numId w:val="1"/>
        </w:numPr>
        <w:jc w:val="both"/>
        <w:rPr>
          <w:rFonts w:ascii="Arial Narrow" w:hAnsi="Arial Narrow"/>
          <w:sz w:val="24"/>
          <w:szCs w:val="24"/>
        </w:rPr>
      </w:pPr>
      <w:r w:rsidRPr="007D68F2">
        <w:rPr>
          <w:rFonts w:ascii="Arial Narrow" w:hAnsi="Arial Narrow"/>
          <w:sz w:val="24"/>
          <w:szCs w:val="24"/>
        </w:rPr>
        <w:t>V</w:t>
      </w:r>
      <w:r w:rsidRPr="007D68F2">
        <w:rPr>
          <w:rFonts w:ascii="Arial Narrow" w:hAnsi="Arial Narrow"/>
          <w:sz w:val="24"/>
          <w:szCs w:val="24"/>
          <w:vertAlign w:val="subscript"/>
        </w:rPr>
        <w:t>i</w:t>
      </w:r>
      <w:r w:rsidRPr="007D68F2">
        <w:rPr>
          <w:rFonts w:ascii="Arial Narrow" w:hAnsi="Arial Narrow"/>
          <w:sz w:val="24"/>
          <w:szCs w:val="24"/>
        </w:rPr>
        <w:t xml:space="preserve"> is the value of partner i’s contribution; and</w:t>
      </w:r>
    </w:p>
    <w:p w:rsidR="000C4AB1" w:rsidRPr="007D68F2" w:rsidRDefault="000C4AB1" w:rsidP="000C4AB1">
      <w:pPr>
        <w:numPr>
          <w:ilvl w:val="0"/>
          <w:numId w:val="1"/>
        </w:numPr>
        <w:jc w:val="both"/>
        <w:rPr>
          <w:rFonts w:ascii="Arial Narrow" w:hAnsi="Arial Narrow"/>
          <w:sz w:val="24"/>
          <w:szCs w:val="24"/>
        </w:rPr>
      </w:pPr>
      <w:r w:rsidRPr="007D68F2">
        <w:rPr>
          <w:rFonts w:ascii="Arial Narrow" w:hAnsi="Arial Narrow"/>
          <w:sz w:val="24"/>
          <w:szCs w:val="24"/>
        </w:rPr>
        <w:t xml:space="preserve">TV is the value of all contributions. </w:t>
      </w:r>
    </w:p>
    <w:p w:rsidR="000C4AB1" w:rsidRPr="007D68F2" w:rsidRDefault="000C4AB1" w:rsidP="000C4AB1">
      <w:pPr>
        <w:jc w:val="both"/>
        <w:rPr>
          <w:rFonts w:ascii="Arial Narrow" w:hAnsi="Arial Narrow"/>
          <w:sz w:val="24"/>
          <w:szCs w:val="24"/>
        </w:rPr>
      </w:pPr>
      <w:r w:rsidRPr="007D68F2">
        <w:rPr>
          <w:rFonts w:ascii="Arial Narrow" w:hAnsi="Arial Narrow"/>
          <w:sz w:val="24"/>
          <w:szCs w:val="24"/>
        </w:rPr>
        <w:t>In the above example, SE’s share of any impacts is:-</w:t>
      </w:r>
    </w:p>
    <w:p w:rsidR="000C4AB1" w:rsidRPr="007D68F2" w:rsidRDefault="000C4AB1" w:rsidP="000C4AB1">
      <w:pPr>
        <w:jc w:val="both"/>
        <w:rPr>
          <w:rFonts w:ascii="Arial Narrow" w:hAnsi="Arial Narrow"/>
          <w:sz w:val="24"/>
          <w:szCs w:val="24"/>
        </w:rPr>
      </w:pPr>
      <w:r w:rsidRPr="007D68F2">
        <w:rPr>
          <w:rFonts w:ascii="Arial Narrow" w:hAnsi="Arial Narrow"/>
          <w:sz w:val="24"/>
          <w:szCs w:val="24"/>
        </w:rPr>
        <w:tab/>
      </w:r>
      <w:r w:rsidRPr="007D68F2">
        <w:rPr>
          <w:rFonts w:ascii="Arial Narrow" w:hAnsi="Arial Narrow"/>
          <w:sz w:val="24"/>
          <w:szCs w:val="24"/>
        </w:rPr>
        <w:tab/>
      </w:r>
      <w:r w:rsidRPr="007D68F2">
        <w:rPr>
          <w:rFonts w:ascii="Arial Narrow" w:hAnsi="Arial Narrow"/>
          <w:sz w:val="24"/>
          <w:szCs w:val="24"/>
        </w:rPr>
        <w:tab/>
      </w:r>
      <w:r w:rsidRPr="007D68F2">
        <w:rPr>
          <w:rFonts w:ascii="Arial Narrow" w:hAnsi="Arial Narrow"/>
          <w:sz w:val="24"/>
          <w:szCs w:val="24"/>
        </w:rPr>
        <w:tab/>
        <w:t>(£1.449/£5.759)  x 100 = 25%.</w:t>
      </w:r>
    </w:p>
    <w:p w:rsidR="000C4AB1" w:rsidRPr="007D68F2" w:rsidRDefault="000C4AB1" w:rsidP="000C4AB1">
      <w:pPr>
        <w:rPr>
          <w:rFonts w:ascii="Arial Narrow" w:hAnsi="Arial Narrow"/>
        </w:rPr>
      </w:pPr>
      <w:r w:rsidRPr="007D68F2">
        <w:rPr>
          <w:rFonts w:ascii="Arial Narrow" w:hAnsi="Arial Narrow"/>
          <w:sz w:val="24"/>
          <w:szCs w:val="24"/>
        </w:rPr>
        <w:t>Thus SE can “claim” 25% of any net impacts of the intervention as it is funding 25% of the costs.</w:t>
      </w:r>
    </w:p>
    <w:p w:rsidR="002B4B6D" w:rsidRDefault="002B4B6D"/>
    <w:sectPr w:rsidR="002B4B6D" w:rsidSect="0047683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83B" w:rsidRDefault="0047683B" w:rsidP="000C4AB1">
      <w:pPr>
        <w:spacing w:after="0" w:line="240" w:lineRule="auto"/>
      </w:pPr>
      <w:r>
        <w:separator/>
      </w:r>
    </w:p>
  </w:endnote>
  <w:endnote w:type="continuationSeparator" w:id="0">
    <w:p w:rsidR="0047683B" w:rsidRDefault="0047683B" w:rsidP="000C4A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3B" w:rsidRDefault="0047683B">
    <w:pPr>
      <w:pStyle w:val="Footer"/>
      <w:pBdr>
        <w:top w:val="thinThickSmallGap" w:sz="24" w:space="1" w:color="622423" w:themeColor="accent2" w:themeShade="7F"/>
      </w:pBdr>
      <w:rPr>
        <w:rFonts w:asciiTheme="majorHAnsi" w:hAnsiTheme="majorHAnsi"/>
      </w:rPr>
    </w:pPr>
    <w:r w:rsidRPr="000C4AB1">
      <w:rPr>
        <w:rFonts w:ascii="Arial Narrow" w:hAnsi="Arial Narrow"/>
        <w:i/>
        <w:sz w:val="16"/>
        <w:szCs w:val="16"/>
      </w:rPr>
      <w:t>January 2014</w:t>
    </w:r>
    <w:r w:rsidRPr="000C4AB1">
      <w:rPr>
        <w:rFonts w:ascii="Arial Narrow" w:hAnsi="Arial Narrow"/>
        <w:i/>
        <w:sz w:val="16"/>
        <w:szCs w:val="16"/>
      </w:rPr>
      <w:ptab w:relativeTo="margin" w:alignment="right" w:leader="none"/>
    </w:r>
    <w:fldSimple w:instr=" PAGE   \* MERGEFORMAT ">
      <w:r w:rsidR="006B0244" w:rsidRPr="006B0244">
        <w:rPr>
          <w:rFonts w:asciiTheme="majorHAnsi" w:hAnsiTheme="majorHAnsi"/>
          <w:noProof/>
        </w:rPr>
        <w:t>1</w:t>
      </w:r>
    </w:fldSimple>
  </w:p>
  <w:p w:rsidR="0047683B" w:rsidRDefault="004768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83B" w:rsidRDefault="0047683B" w:rsidP="000C4AB1">
      <w:pPr>
        <w:spacing w:after="0" w:line="240" w:lineRule="auto"/>
      </w:pPr>
      <w:r>
        <w:separator/>
      </w:r>
    </w:p>
  </w:footnote>
  <w:footnote w:type="continuationSeparator" w:id="0">
    <w:p w:rsidR="0047683B" w:rsidRDefault="0047683B" w:rsidP="000C4A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3B" w:rsidRPr="000C4AB1" w:rsidRDefault="0047683B">
    <w:pPr>
      <w:pStyle w:val="Header"/>
      <w:rPr>
        <w:rFonts w:ascii="Arial Narrow" w:hAnsi="Arial Narrow"/>
        <w:i/>
        <w:sz w:val="16"/>
        <w:szCs w:val="16"/>
      </w:rPr>
    </w:pPr>
    <w:r w:rsidRPr="000C4AB1">
      <w:rPr>
        <w:rFonts w:ascii="Arial Narrow" w:hAnsi="Arial Narrow"/>
        <w:i/>
        <w:sz w:val="16"/>
        <w:szCs w:val="16"/>
      </w:rPr>
      <w:t>Scottish Enterprise Economic Impact Guidance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714FE"/>
    <w:multiLevelType w:val="hybridMultilevel"/>
    <w:tmpl w:val="1F3CC6A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C4AB1"/>
    <w:rsid w:val="000C4AB1"/>
    <w:rsid w:val="00256A13"/>
    <w:rsid w:val="002B4B6D"/>
    <w:rsid w:val="003C78BF"/>
    <w:rsid w:val="0047683B"/>
    <w:rsid w:val="006150FE"/>
    <w:rsid w:val="006B0244"/>
    <w:rsid w:val="00751DEA"/>
    <w:rsid w:val="00A55B7E"/>
    <w:rsid w:val="00B748AD"/>
    <w:rsid w:val="00C54746"/>
    <w:rsid w:val="00D04185"/>
    <w:rsid w:val="00E54A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AB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C4AB1"/>
    <w:rPr>
      <w:rFonts w:cs="Times New Roman"/>
      <w:color w:val="0000FF"/>
      <w:u w:val="single"/>
    </w:rPr>
  </w:style>
  <w:style w:type="paragraph" w:styleId="ListParagraph">
    <w:name w:val="List Paragraph"/>
    <w:basedOn w:val="Normal"/>
    <w:uiPriority w:val="99"/>
    <w:qFormat/>
    <w:rsid w:val="000C4AB1"/>
    <w:pPr>
      <w:ind w:left="720"/>
      <w:contextualSpacing/>
    </w:pPr>
  </w:style>
  <w:style w:type="paragraph" w:styleId="Header">
    <w:name w:val="header"/>
    <w:basedOn w:val="Normal"/>
    <w:link w:val="HeaderChar"/>
    <w:uiPriority w:val="99"/>
    <w:semiHidden/>
    <w:unhideWhenUsed/>
    <w:rsid w:val="000C4A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C4AB1"/>
    <w:rPr>
      <w:rFonts w:ascii="Calibri" w:eastAsia="Calibri" w:hAnsi="Calibri" w:cs="Times New Roman"/>
    </w:rPr>
  </w:style>
  <w:style w:type="paragraph" w:styleId="Footer">
    <w:name w:val="footer"/>
    <w:basedOn w:val="Normal"/>
    <w:link w:val="FooterChar"/>
    <w:uiPriority w:val="99"/>
    <w:unhideWhenUsed/>
    <w:rsid w:val="000C4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AB1"/>
    <w:rPr>
      <w:rFonts w:ascii="Calibri" w:eastAsia="Calibri" w:hAnsi="Calibri" w:cs="Times New Roman"/>
    </w:rPr>
  </w:style>
  <w:style w:type="paragraph" w:styleId="BalloonText">
    <w:name w:val="Balloon Text"/>
    <w:basedOn w:val="Normal"/>
    <w:link w:val="BalloonTextChar"/>
    <w:uiPriority w:val="99"/>
    <w:semiHidden/>
    <w:unhideWhenUsed/>
    <w:rsid w:val="000C4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AB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zanne.fleming@scoten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Scottish Enterprise</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hayton</dc:creator>
  <cp:keywords/>
  <dc:description/>
  <cp:lastModifiedBy>hayton</cp:lastModifiedBy>
  <cp:revision>4</cp:revision>
  <dcterms:created xsi:type="dcterms:W3CDTF">2014-01-15T14:50:00Z</dcterms:created>
  <dcterms:modified xsi:type="dcterms:W3CDTF">2014-03-27T11:50:00Z</dcterms:modified>
</cp:coreProperties>
</file>