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34" w:rsidRDefault="00040A34" w:rsidP="00040A34">
      <w:pPr>
        <w:pStyle w:val="Heading1"/>
        <w:rPr>
          <w:rFonts w:ascii="Arial Narrow" w:hAnsi="Arial Narrow"/>
          <w:sz w:val="36"/>
          <w:szCs w:val="36"/>
        </w:rPr>
      </w:pPr>
      <w:bookmarkStart w:id="0" w:name="_Toc333225398"/>
      <w:r>
        <w:rPr>
          <w:rFonts w:ascii="Arial Narrow" w:hAnsi="Arial Narrow"/>
          <w:sz w:val="36"/>
          <w:szCs w:val="36"/>
        </w:rPr>
        <w:t>Benchmarking</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040A34" w:rsidTr="00040A34">
        <w:tc>
          <w:tcPr>
            <w:tcW w:w="9134" w:type="dxa"/>
            <w:tcBorders>
              <w:top w:val="single" w:sz="4" w:space="0" w:color="auto"/>
              <w:left w:val="single" w:sz="4" w:space="0" w:color="auto"/>
              <w:bottom w:val="single" w:sz="4" w:space="0" w:color="auto"/>
              <w:right w:val="single" w:sz="4" w:space="0" w:color="auto"/>
            </w:tcBorders>
            <w:shd w:val="clear" w:color="auto" w:fill="95B3D7"/>
            <w:hideMark/>
          </w:tcPr>
          <w:p w:rsidR="00040A34" w:rsidRDefault="00040A34">
            <w:pPr>
              <w:spacing w:after="0" w:line="240" w:lineRule="auto"/>
              <w:jc w:val="center"/>
              <w:rPr>
                <w:rFonts w:ascii="Arial Narrow" w:hAnsi="Arial Narrow"/>
                <w:b/>
                <w:i/>
                <w:sz w:val="24"/>
                <w:szCs w:val="24"/>
              </w:rPr>
            </w:pPr>
            <w:r>
              <w:rPr>
                <w:rFonts w:ascii="Arial Narrow" w:hAnsi="Arial Narrow"/>
                <w:b/>
                <w:i/>
                <w:sz w:val="24"/>
                <w:szCs w:val="24"/>
              </w:rPr>
              <w:t>Benchmarking is the process of comparing an intervention’s performance to that of other interventions, across a selected range of indicators. This then provides a comparative measure of relative performance.</w:t>
            </w:r>
          </w:p>
        </w:tc>
      </w:tr>
    </w:tbl>
    <w:p w:rsidR="00040A34" w:rsidRDefault="00040A34" w:rsidP="00040A34">
      <w:pPr>
        <w:spacing w:after="0"/>
        <w:jc w:val="both"/>
        <w:rPr>
          <w:rFonts w:ascii="Arial Narrow" w:hAnsi="Arial Narrow"/>
          <w:sz w:val="24"/>
          <w:szCs w:val="24"/>
        </w:rPr>
      </w:pPr>
    </w:p>
    <w:p w:rsidR="00040A34" w:rsidRDefault="00040A34" w:rsidP="00040A34">
      <w:pPr>
        <w:jc w:val="both"/>
        <w:rPr>
          <w:rFonts w:ascii="Arial Narrow" w:hAnsi="Arial Narrow"/>
          <w:b/>
          <w:sz w:val="28"/>
          <w:szCs w:val="28"/>
        </w:rPr>
      </w:pPr>
      <w:r>
        <w:rPr>
          <w:rFonts w:ascii="Arial Narrow" w:hAnsi="Arial Narrow"/>
          <w:b/>
          <w:sz w:val="28"/>
          <w:szCs w:val="28"/>
        </w:rPr>
        <w:t>Why is it important?</w:t>
      </w:r>
    </w:p>
    <w:p w:rsidR="00040A34" w:rsidRDefault="00040A34" w:rsidP="00040A34">
      <w:pPr>
        <w:jc w:val="both"/>
        <w:rPr>
          <w:rFonts w:ascii="Arial Narrow" w:hAnsi="Arial Narrow"/>
          <w:sz w:val="24"/>
          <w:szCs w:val="24"/>
        </w:rPr>
      </w:pPr>
      <w:r>
        <w:rPr>
          <w:rFonts w:ascii="Arial Narrow" w:hAnsi="Arial Narrow"/>
          <w:sz w:val="24"/>
          <w:szCs w:val="24"/>
        </w:rPr>
        <w:t xml:space="preserve">When appraisals and evaluations are undertaken, generally two types of impact figures are reported: absolute impacts (for example so many £ million of net GVA and so many net additional jobs) and relative impacts: chiefly the impact ratio (net GVA impact per £1 of SE spend) and the cost per job created. </w:t>
      </w:r>
      <w:r w:rsidR="00355350">
        <w:rPr>
          <w:rFonts w:ascii="Arial Narrow" w:hAnsi="Arial Narrow"/>
          <w:sz w:val="24"/>
          <w:szCs w:val="24"/>
        </w:rPr>
        <w:t xml:space="preserve"> </w:t>
      </w:r>
      <w:r>
        <w:rPr>
          <w:rFonts w:ascii="Arial Narrow" w:hAnsi="Arial Narrow"/>
          <w:sz w:val="24"/>
          <w:szCs w:val="24"/>
        </w:rPr>
        <w:t xml:space="preserve">In isolation these relative measures mean little. </w:t>
      </w:r>
      <w:r w:rsidR="00355350">
        <w:rPr>
          <w:rFonts w:ascii="Arial Narrow" w:hAnsi="Arial Narrow"/>
          <w:sz w:val="24"/>
          <w:szCs w:val="24"/>
        </w:rPr>
        <w:t xml:space="preserve"> </w:t>
      </w:r>
      <w:r>
        <w:rPr>
          <w:rFonts w:ascii="Arial Narrow" w:hAnsi="Arial Narrow"/>
          <w:sz w:val="24"/>
          <w:szCs w:val="24"/>
        </w:rPr>
        <w:t>For example</w:t>
      </w:r>
      <w:r w:rsidR="007269E3">
        <w:rPr>
          <w:rFonts w:ascii="Arial Narrow" w:hAnsi="Arial Narrow"/>
          <w:sz w:val="24"/>
          <w:szCs w:val="24"/>
        </w:rPr>
        <w:t>,</w:t>
      </w:r>
      <w:r>
        <w:rPr>
          <w:rFonts w:ascii="Arial Narrow" w:hAnsi="Arial Narrow"/>
          <w:sz w:val="24"/>
          <w:szCs w:val="24"/>
        </w:rPr>
        <w:t xml:space="preserve"> is an impact ratio of 1:8 good, average or bad? If an intervention has created a net additional job at the cost of £10,000 again, what does this mean? </w:t>
      </w:r>
    </w:p>
    <w:p w:rsidR="00040A34" w:rsidRDefault="00040A34" w:rsidP="00040A34">
      <w:pPr>
        <w:jc w:val="both"/>
        <w:rPr>
          <w:rFonts w:ascii="Arial Narrow" w:hAnsi="Arial Narrow"/>
          <w:sz w:val="24"/>
          <w:szCs w:val="24"/>
        </w:rPr>
      </w:pPr>
      <w:r>
        <w:rPr>
          <w:rFonts w:ascii="Arial Narrow" w:hAnsi="Arial Narrow"/>
          <w:sz w:val="24"/>
          <w:szCs w:val="24"/>
        </w:rPr>
        <w:t xml:space="preserve">The process of giving meaning to these relative performance figures (and other additionality metrics) is called benchmarking, and is a necessary element in the overall assessment of an intervention’s potential or actual worth. </w:t>
      </w:r>
      <w:r w:rsidR="00355350">
        <w:rPr>
          <w:rFonts w:ascii="Arial Narrow" w:hAnsi="Arial Narrow"/>
          <w:sz w:val="24"/>
          <w:szCs w:val="24"/>
        </w:rPr>
        <w:t xml:space="preserve"> </w:t>
      </w:r>
      <w:r>
        <w:rPr>
          <w:rFonts w:ascii="Arial Narrow" w:hAnsi="Arial Narrow"/>
          <w:sz w:val="24"/>
          <w:szCs w:val="24"/>
        </w:rPr>
        <w:t xml:space="preserve">Thus SE is interested in both the absolute performance of an intervention and in seeing how it compares to other interventions with similar objectives. </w:t>
      </w:r>
    </w:p>
    <w:p w:rsidR="00040A34" w:rsidRDefault="00040A34" w:rsidP="00040A34">
      <w:pPr>
        <w:jc w:val="both"/>
        <w:rPr>
          <w:rFonts w:ascii="Arial Narrow" w:hAnsi="Arial Narrow"/>
          <w:sz w:val="24"/>
          <w:szCs w:val="24"/>
        </w:rPr>
      </w:pPr>
      <w:r>
        <w:rPr>
          <w:rFonts w:ascii="Arial Narrow" w:hAnsi="Arial Narrow"/>
          <w:sz w:val="24"/>
          <w:szCs w:val="24"/>
        </w:rPr>
        <w:t xml:space="preserve">Benchmarking in appraisals is also a valuable aid </w:t>
      </w:r>
      <w:r w:rsidR="007269E3">
        <w:rPr>
          <w:rFonts w:ascii="Arial Narrow" w:hAnsi="Arial Narrow"/>
          <w:sz w:val="24"/>
          <w:szCs w:val="24"/>
        </w:rPr>
        <w:t>for assessing the realism of a</w:t>
      </w:r>
      <w:r>
        <w:rPr>
          <w:rFonts w:ascii="Arial Narrow" w:hAnsi="Arial Narrow"/>
          <w:sz w:val="24"/>
          <w:szCs w:val="24"/>
        </w:rPr>
        <w:t xml:space="preserve"> proj</w:t>
      </w:r>
      <w:r w:rsidR="007269E3">
        <w:rPr>
          <w:rFonts w:ascii="Arial Narrow" w:hAnsi="Arial Narrow"/>
          <w:sz w:val="24"/>
          <w:szCs w:val="24"/>
        </w:rPr>
        <w:t xml:space="preserve">ect and its forecast benefits. </w:t>
      </w:r>
      <w:r w:rsidR="00355350">
        <w:rPr>
          <w:rFonts w:ascii="Arial Narrow" w:hAnsi="Arial Narrow"/>
          <w:sz w:val="24"/>
          <w:szCs w:val="24"/>
        </w:rPr>
        <w:t xml:space="preserve"> </w:t>
      </w:r>
      <w:r>
        <w:rPr>
          <w:rFonts w:ascii="Arial Narrow" w:hAnsi="Arial Narrow"/>
          <w:sz w:val="24"/>
          <w:szCs w:val="24"/>
        </w:rPr>
        <w:t xml:space="preserve">For example, if benchmark data shows that performance elsewhere was much better or worse than is anticipated for a new intervention, this may indicate a need to revisit the project and assess the appropriateness of assumptions underpinning it and perhaps have a more fundamental rethink about the intervention, its objectives and rationale.  </w:t>
      </w:r>
    </w:p>
    <w:p w:rsidR="00040A34" w:rsidRDefault="00040A34" w:rsidP="00040A34">
      <w:pPr>
        <w:jc w:val="both"/>
        <w:rPr>
          <w:rFonts w:ascii="Arial Narrow" w:hAnsi="Arial Narrow"/>
          <w:b/>
          <w:sz w:val="28"/>
          <w:szCs w:val="28"/>
        </w:rPr>
      </w:pPr>
      <w:r>
        <w:rPr>
          <w:rFonts w:ascii="Arial Narrow" w:hAnsi="Arial Narrow"/>
          <w:b/>
          <w:sz w:val="28"/>
          <w:szCs w:val="28"/>
        </w:rPr>
        <w:t>What benchmarking should be undertaken?</w:t>
      </w:r>
    </w:p>
    <w:p w:rsidR="00040A34" w:rsidRDefault="00040A34" w:rsidP="00040A34">
      <w:pPr>
        <w:jc w:val="both"/>
        <w:rPr>
          <w:rFonts w:ascii="Arial Narrow" w:hAnsi="Arial Narrow"/>
          <w:sz w:val="24"/>
          <w:szCs w:val="24"/>
        </w:rPr>
      </w:pPr>
      <w:r>
        <w:rPr>
          <w:rFonts w:ascii="Arial Narrow" w:hAnsi="Arial Narrow"/>
          <w:sz w:val="24"/>
          <w:szCs w:val="24"/>
        </w:rPr>
        <w:t xml:space="preserve">Generally benchmarking is used to compare the performance of an intervention against that of interventions having similar objectives. </w:t>
      </w:r>
      <w:r w:rsidR="00355350">
        <w:rPr>
          <w:rFonts w:ascii="Arial Narrow" w:hAnsi="Arial Narrow"/>
          <w:sz w:val="24"/>
          <w:szCs w:val="24"/>
        </w:rPr>
        <w:t xml:space="preserve"> </w:t>
      </w:r>
      <w:r>
        <w:rPr>
          <w:rFonts w:ascii="Arial Narrow" w:hAnsi="Arial Narrow"/>
          <w:sz w:val="24"/>
          <w:szCs w:val="24"/>
        </w:rPr>
        <w:t>It will norm</w:t>
      </w:r>
      <w:r w:rsidR="007269E3">
        <w:rPr>
          <w:rFonts w:ascii="Arial Narrow" w:hAnsi="Arial Narrow"/>
          <w:sz w:val="24"/>
          <w:szCs w:val="24"/>
        </w:rPr>
        <w:t>ally be undertaken on one or</w:t>
      </w:r>
      <w:r>
        <w:rPr>
          <w:rFonts w:ascii="Arial Narrow" w:hAnsi="Arial Narrow"/>
          <w:sz w:val="24"/>
          <w:szCs w:val="24"/>
        </w:rPr>
        <w:t xml:space="preserve"> more of the following:-</w:t>
      </w:r>
    </w:p>
    <w:p w:rsidR="00040A34" w:rsidRDefault="00040A34" w:rsidP="00040A34">
      <w:pPr>
        <w:pStyle w:val="ListParagraph"/>
        <w:numPr>
          <w:ilvl w:val="0"/>
          <w:numId w:val="1"/>
        </w:numPr>
        <w:jc w:val="both"/>
        <w:rPr>
          <w:rFonts w:ascii="Arial Narrow" w:hAnsi="Arial Narrow"/>
          <w:sz w:val="24"/>
          <w:szCs w:val="24"/>
        </w:rPr>
      </w:pPr>
      <w:r>
        <w:rPr>
          <w:rFonts w:ascii="Arial Narrow" w:hAnsi="Arial Narrow"/>
          <w:sz w:val="24"/>
          <w:szCs w:val="24"/>
        </w:rPr>
        <w:t>Selected additionality indicators such as deadweight or displacement;</w:t>
      </w:r>
    </w:p>
    <w:p w:rsidR="00040A34" w:rsidRDefault="00040A34" w:rsidP="00040A34">
      <w:pPr>
        <w:pStyle w:val="ListParagraph"/>
        <w:numPr>
          <w:ilvl w:val="0"/>
          <w:numId w:val="1"/>
        </w:numPr>
        <w:jc w:val="both"/>
        <w:rPr>
          <w:rFonts w:ascii="Arial Narrow" w:hAnsi="Arial Narrow"/>
          <w:sz w:val="24"/>
          <w:szCs w:val="24"/>
        </w:rPr>
      </w:pPr>
      <w:r>
        <w:rPr>
          <w:rFonts w:ascii="Arial Narrow" w:hAnsi="Arial Narrow"/>
          <w:sz w:val="24"/>
          <w:szCs w:val="24"/>
        </w:rPr>
        <w:t>Output indicators such as the cost per unit of floorspace created or costs per business assist; and</w:t>
      </w:r>
      <w:r>
        <w:rPr>
          <w:rFonts w:ascii="Arial Narrow" w:hAnsi="Arial Narrow"/>
          <w:color w:val="FF0000"/>
          <w:sz w:val="24"/>
          <w:szCs w:val="24"/>
        </w:rPr>
        <w:t xml:space="preserve"> </w:t>
      </w:r>
      <w:r>
        <w:rPr>
          <w:rFonts w:ascii="Arial Narrow" w:hAnsi="Arial Narrow"/>
          <w:sz w:val="24"/>
          <w:szCs w:val="24"/>
        </w:rPr>
        <w:t xml:space="preserve"> </w:t>
      </w:r>
    </w:p>
    <w:p w:rsidR="00040A34" w:rsidRDefault="00040A34" w:rsidP="00040A34">
      <w:pPr>
        <w:pStyle w:val="ListParagraph"/>
        <w:numPr>
          <w:ilvl w:val="0"/>
          <w:numId w:val="1"/>
        </w:numPr>
        <w:jc w:val="both"/>
        <w:rPr>
          <w:rFonts w:ascii="Arial Narrow" w:hAnsi="Arial Narrow"/>
          <w:sz w:val="24"/>
          <w:szCs w:val="24"/>
        </w:rPr>
      </w:pPr>
      <w:r>
        <w:rPr>
          <w:rFonts w:ascii="Arial Narrow" w:hAnsi="Arial Narrow"/>
          <w:sz w:val="24"/>
          <w:szCs w:val="24"/>
        </w:rPr>
        <w:t>Key relative impact measures such as the net cost per net additional job or the impact ratio.</w:t>
      </w:r>
    </w:p>
    <w:p w:rsidR="00040A34" w:rsidRDefault="00040A34" w:rsidP="00040A34">
      <w:pPr>
        <w:pStyle w:val="ListParagraph"/>
        <w:jc w:val="both"/>
        <w:rPr>
          <w:rFonts w:ascii="Arial Narrow" w:hAnsi="Arial Narrow"/>
          <w:sz w:val="24"/>
          <w:szCs w:val="24"/>
        </w:rPr>
      </w:pPr>
    </w:p>
    <w:p w:rsidR="00040A34" w:rsidRDefault="00040A34" w:rsidP="00040A34">
      <w:pPr>
        <w:pStyle w:val="ListParagraph"/>
        <w:ind w:left="0"/>
        <w:jc w:val="both"/>
        <w:rPr>
          <w:rFonts w:ascii="Arial Narrow" w:hAnsi="Arial Narrow"/>
          <w:b/>
          <w:sz w:val="28"/>
          <w:szCs w:val="28"/>
        </w:rPr>
      </w:pPr>
      <w:r>
        <w:rPr>
          <w:rFonts w:ascii="Arial Narrow" w:hAnsi="Arial Narrow"/>
          <w:b/>
          <w:sz w:val="28"/>
          <w:szCs w:val="28"/>
        </w:rPr>
        <w:t>Benchmarking Issues</w:t>
      </w:r>
    </w:p>
    <w:p w:rsidR="00040A34" w:rsidRDefault="00040A34" w:rsidP="00040A34">
      <w:pPr>
        <w:pStyle w:val="ListParagraph"/>
        <w:ind w:left="0"/>
        <w:jc w:val="both"/>
        <w:rPr>
          <w:rFonts w:ascii="Arial Narrow" w:hAnsi="Arial Narrow"/>
          <w:b/>
          <w:sz w:val="24"/>
          <w:szCs w:val="24"/>
        </w:rPr>
      </w:pPr>
    </w:p>
    <w:p w:rsidR="00040A34" w:rsidRDefault="00040A34" w:rsidP="00040A34">
      <w:pPr>
        <w:pStyle w:val="ListParagraph"/>
        <w:ind w:left="0"/>
        <w:jc w:val="both"/>
        <w:rPr>
          <w:rFonts w:ascii="Arial Narrow" w:hAnsi="Arial Narrow"/>
          <w:sz w:val="24"/>
          <w:szCs w:val="24"/>
        </w:rPr>
      </w:pPr>
      <w:r>
        <w:rPr>
          <w:rFonts w:ascii="Arial Narrow" w:hAnsi="Arial Narrow"/>
          <w:sz w:val="24"/>
          <w:szCs w:val="24"/>
        </w:rPr>
        <w:t xml:space="preserve">Although benchmarking is, in theory, very simple, in practice it can be difficult to do. </w:t>
      </w:r>
      <w:r w:rsidR="00355350">
        <w:rPr>
          <w:rFonts w:ascii="Arial Narrow" w:hAnsi="Arial Narrow"/>
          <w:sz w:val="24"/>
          <w:szCs w:val="24"/>
        </w:rPr>
        <w:t xml:space="preserve"> </w:t>
      </w:r>
      <w:r>
        <w:rPr>
          <w:rFonts w:ascii="Arial Narrow" w:hAnsi="Arial Narrow"/>
          <w:sz w:val="24"/>
          <w:szCs w:val="24"/>
        </w:rPr>
        <w:t>There are a number of reasons for this:-</w:t>
      </w:r>
    </w:p>
    <w:p w:rsidR="00040A34" w:rsidRDefault="00040A34" w:rsidP="00040A34">
      <w:pPr>
        <w:pStyle w:val="ListParagraph"/>
        <w:ind w:left="0"/>
        <w:jc w:val="both"/>
        <w:rPr>
          <w:rFonts w:ascii="Arial Narrow" w:hAnsi="Arial Narrow"/>
          <w:sz w:val="24"/>
          <w:szCs w:val="24"/>
        </w:rPr>
      </w:pPr>
    </w:p>
    <w:p w:rsidR="00040A34" w:rsidRDefault="00040A34" w:rsidP="00040A34">
      <w:pPr>
        <w:pStyle w:val="ListParagraph"/>
        <w:numPr>
          <w:ilvl w:val="0"/>
          <w:numId w:val="2"/>
        </w:numPr>
        <w:jc w:val="both"/>
        <w:rPr>
          <w:rFonts w:ascii="Arial Narrow" w:hAnsi="Arial Narrow"/>
          <w:sz w:val="24"/>
          <w:szCs w:val="24"/>
        </w:rPr>
      </w:pPr>
      <w:r>
        <w:rPr>
          <w:rFonts w:ascii="Arial Narrow" w:hAnsi="Arial Narrow"/>
          <w:sz w:val="24"/>
          <w:szCs w:val="24"/>
        </w:rPr>
        <w:t>It can be very difficult to find an intervention that has identical objectives;</w:t>
      </w:r>
    </w:p>
    <w:p w:rsidR="00040A34" w:rsidRDefault="00040A34" w:rsidP="00040A34">
      <w:pPr>
        <w:pStyle w:val="ListParagraph"/>
        <w:numPr>
          <w:ilvl w:val="0"/>
          <w:numId w:val="2"/>
        </w:numPr>
        <w:jc w:val="both"/>
        <w:rPr>
          <w:rFonts w:ascii="Arial Narrow" w:hAnsi="Arial Narrow"/>
          <w:sz w:val="24"/>
          <w:szCs w:val="24"/>
        </w:rPr>
      </w:pPr>
      <w:r>
        <w:rPr>
          <w:rFonts w:ascii="Arial Narrow" w:hAnsi="Arial Narrow"/>
          <w:sz w:val="24"/>
          <w:szCs w:val="24"/>
        </w:rPr>
        <w:t>Even if interventions having identical objectives can be fo</w:t>
      </w:r>
      <w:r w:rsidR="007269E3">
        <w:rPr>
          <w:rFonts w:ascii="Arial Narrow" w:hAnsi="Arial Narrow"/>
          <w:sz w:val="24"/>
          <w:szCs w:val="24"/>
        </w:rPr>
        <w:t>und, the activities undertaken</w:t>
      </w:r>
      <w:r>
        <w:rPr>
          <w:rFonts w:ascii="Arial Narrow" w:hAnsi="Arial Narrow"/>
          <w:sz w:val="24"/>
          <w:szCs w:val="24"/>
        </w:rPr>
        <w:t xml:space="preserve"> may be very different, as may the resources allocated and perh</w:t>
      </w:r>
      <w:r w:rsidR="007269E3">
        <w:rPr>
          <w:rFonts w:ascii="Arial Narrow" w:hAnsi="Arial Narrow"/>
          <w:sz w:val="24"/>
          <w:szCs w:val="24"/>
        </w:rPr>
        <w:t>aps the target beneficiaries so</w:t>
      </w:r>
      <w:r>
        <w:rPr>
          <w:rFonts w:ascii="Arial Narrow" w:hAnsi="Arial Narrow"/>
          <w:sz w:val="24"/>
          <w:szCs w:val="24"/>
        </w:rPr>
        <w:t xml:space="preserve"> that comparisons of impact measures may be misleading;</w:t>
      </w:r>
    </w:p>
    <w:p w:rsidR="00040A34" w:rsidRDefault="00040A34" w:rsidP="00040A34">
      <w:pPr>
        <w:pStyle w:val="ListParagraph"/>
        <w:numPr>
          <w:ilvl w:val="0"/>
          <w:numId w:val="2"/>
        </w:numPr>
        <w:jc w:val="both"/>
        <w:rPr>
          <w:rFonts w:ascii="Arial Narrow" w:hAnsi="Arial Narrow"/>
          <w:sz w:val="24"/>
          <w:szCs w:val="24"/>
        </w:rPr>
      </w:pPr>
      <w:r>
        <w:rPr>
          <w:rFonts w:ascii="Arial Narrow" w:hAnsi="Arial Narrow"/>
          <w:sz w:val="24"/>
          <w:szCs w:val="24"/>
        </w:rPr>
        <w:lastRenderedPageBreak/>
        <w:t xml:space="preserve">The methodologies used may not be transparent so that it may be difficult to know such things as whether values have been discounted, expressed in constant prices or even if acceptable questions have been asked to derive the additionality adjustments. </w:t>
      </w:r>
      <w:r w:rsidR="00355350">
        <w:rPr>
          <w:rFonts w:ascii="Arial Narrow" w:hAnsi="Arial Narrow"/>
          <w:sz w:val="24"/>
          <w:szCs w:val="24"/>
        </w:rPr>
        <w:t xml:space="preserve"> </w:t>
      </w:r>
      <w:r>
        <w:rPr>
          <w:rFonts w:ascii="Arial Narrow" w:hAnsi="Arial Narrow"/>
          <w:sz w:val="24"/>
          <w:szCs w:val="24"/>
        </w:rPr>
        <w:t>If it is not possible to ascertain these things, then comparisons of impact and additionality findings should be treated with caution;</w:t>
      </w:r>
    </w:p>
    <w:p w:rsidR="00040A34" w:rsidRDefault="00040A34" w:rsidP="00040A34">
      <w:pPr>
        <w:pStyle w:val="ListParagraph"/>
        <w:numPr>
          <w:ilvl w:val="0"/>
          <w:numId w:val="2"/>
        </w:numPr>
        <w:jc w:val="both"/>
        <w:rPr>
          <w:rFonts w:ascii="Arial Narrow" w:hAnsi="Arial Narrow"/>
          <w:sz w:val="24"/>
          <w:szCs w:val="24"/>
        </w:rPr>
      </w:pPr>
      <w:r>
        <w:rPr>
          <w:rFonts w:ascii="Arial Narrow" w:hAnsi="Arial Narrow"/>
          <w:sz w:val="24"/>
          <w:szCs w:val="24"/>
        </w:rPr>
        <w:t>There may be occasions when interventions may be ve</w:t>
      </w:r>
      <w:r w:rsidR="007269E3">
        <w:rPr>
          <w:rFonts w:ascii="Arial Narrow" w:hAnsi="Arial Narrow"/>
          <w:sz w:val="24"/>
          <w:szCs w:val="24"/>
        </w:rPr>
        <w:t>ry innovative so that there may be</w:t>
      </w:r>
      <w:r>
        <w:rPr>
          <w:rFonts w:ascii="Arial Narrow" w:hAnsi="Arial Narrow"/>
          <w:sz w:val="24"/>
          <w:szCs w:val="24"/>
        </w:rPr>
        <w:t xml:space="preserve"> no valid benchmarks;</w:t>
      </w:r>
    </w:p>
    <w:p w:rsidR="00040A34" w:rsidRDefault="00040A34" w:rsidP="00040A34">
      <w:pPr>
        <w:pStyle w:val="ListParagraph"/>
        <w:numPr>
          <w:ilvl w:val="0"/>
          <w:numId w:val="2"/>
        </w:numPr>
        <w:jc w:val="both"/>
        <w:rPr>
          <w:rFonts w:ascii="Arial Narrow" w:hAnsi="Arial Narrow"/>
          <w:sz w:val="24"/>
          <w:szCs w:val="24"/>
        </w:rPr>
      </w:pPr>
      <w:r>
        <w:rPr>
          <w:rFonts w:ascii="Arial Narrow" w:hAnsi="Arial Narrow"/>
          <w:sz w:val="24"/>
          <w:szCs w:val="24"/>
        </w:rPr>
        <w:t xml:space="preserve">Over time appraisal and evaluation practices change as thinking and data sources evolve. </w:t>
      </w:r>
      <w:r w:rsidR="00355350">
        <w:rPr>
          <w:rFonts w:ascii="Arial Narrow" w:hAnsi="Arial Narrow"/>
          <w:sz w:val="24"/>
          <w:szCs w:val="24"/>
        </w:rPr>
        <w:t xml:space="preserve"> </w:t>
      </w:r>
      <w:r>
        <w:rPr>
          <w:rFonts w:ascii="Arial Narrow" w:hAnsi="Arial Narrow"/>
          <w:sz w:val="24"/>
          <w:szCs w:val="24"/>
        </w:rPr>
        <w:t>This can mean that work can date quite quickly so that comparators are no longer valid; and</w:t>
      </w:r>
    </w:p>
    <w:p w:rsidR="00040A34" w:rsidRDefault="00040A34" w:rsidP="00040A34">
      <w:pPr>
        <w:pStyle w:val="ListParagraph"/>
        <w:numPr>
          <w:ilvl w:val="0"/>
          <w:numId w:val="2"/>
        </w:numPr>
        <w:jc w:val="both"/>
        <w:rPr>
          <w:rFonts w:ascii="Arial Narrow" w:hAnsi="Arial Narrow"/>
          <w:sz w:val="24"/>
          <w:szCs w:val="24"/>
        </w:rPr>
      </w:pPr>
      <w:r>
        <w:rPr>
          <w:rFonts w:ascii="Arial Narrow" w:hAnsi="Arial Narrow"/>
          <w:sz w:val="24"/>
          <w:szCs w:val="24"/>
        </w:rPr>
        <w:t xml:space="preserve">Underpinning many of the above factors is organisational practice and experience. </w:t>
      </w:r>
      <w:r w:rsidR="00355350">
        <w:rPr>
          <w:rFonts w:ascii="Arial Narrow" w:hAnsi="Arial Narrow"/>
          <w:sz w:val="24"/>
          <w:szCs w:val="24"/>
        </w:rPr>
        <w:t xml:space="preserve"> </w:t>
      </w:r>
      <w:r>
        <w:rPr>
          <w:rFonts w:ascii="Arial Narrow" w:hAnsi="Arial Narrow"/>
          <w:sz w:val="24"/>
          <w:szCs w:val="24"/>
        </w:rPr>
        <w:t>Public sector agencies vary considerably in their understanding of impact methodologies so that an appraisal that may be perfectly acceptable to one body may fail to pass the quality thresholds of another.</w:t>
      </w:r>
    </w:p>
    <w:p w:rsidR="00040A34" w:rsidRDefault="00040A34" w:rsidP="00040A34">
      <w:pPr>
        <w:pStyle w:val="ListParagraph"/>
        <w:ind w:left="0"/>
        <w:jc w:val="both"/>
        <w:rPr>
          <w:rFonts w:ascii="Arial Narrow" w:hAnsi="Arial Narrow"/>
          <w:sz w:val="24"/>
          <w:szCs w:val="24"/>
        </w:rPr>
      </w:pPr>
    </w:p>
    <w:p w:rsidR="00040A34" w:rsidRDefault="00040A34" w:rsidP="00040A34">
      <w:pPr>
        <w:pStyle w:val="ListParagraph"/>
        <w:ind w:left="0"/>
        <w:jc w:val="both"/>
        <w:rPr>
          <w:rFonts w:ascii="Arial Narrow" w:hAnsi="Arial Narrow"/>
          <w:sz w:val="24"/>
          <w:szCs w:val="24"/>
        </w:rPr>
      </w:pPr>
      <w:r>
        <w:rPr>
          <w:rFonts w:ascii="Arial Narrow" w:hAnsi="Arial Narrow"/>
          <w:sz w:val="24"/>
          <w:szCs w:val="24"/>
        </w:rPr>
        <w:t>All of the above factors mean that benchmarking needs to be undertaken with a degree of caution to ensure that the interventions being compared are broadly similar as are the methodologies used.</w:t>
      </w:r>
    </w:p>
    <w:p w:rsidR="00040A34" w:rsidRDefault="00040A34" w:rsidP="00040A34">
      <w:pPr>
        <w:pStyle w:val="ListParagraph"/>
        <w:ind w:left="0"/>
        <w:jc w:val="both"/>
        <w:rPr>
          <w:rFonts w:ascii="Arial Narrow" w:hAnsi="Arial Narrow"/>
          <w:sz w:val="24"/>
          <w:szCs w:val="24"/>
        </w:rPr>
      </w:pPr>
    </w:p>
    <w:p w:rsidR="00040A34" w:rsidRDefault="00040A34" w:rsidP="00040A34">
      <w:pPr>
        <w:pStyle w:val="ListParagraph"/>
        <w:ind w:left="0"/>
        <w:jc w:val="both"/>
        <w:rPr>
          <w:rFonts w:ascii="Arial Narrow" w:hAnsi="Arial Narrow"/>
          <w:sz w:val="28"/>
          <w:szCs w:val="28"/>
        </w:rPr>
      </w:pPr>
      <w:r>
        <w:rPr>
          <w:rFonts w:ascii="Arial Narrow" w:hAnsi="Arial Narrow"/>
          <w:b/>
          <w:sz w:val="28"/>
          <w:szCs w:val="28"/>
        </w:rPr>
        <w:t xml:space="preserve">Benchmark data </w:t>
      </w:r>
    </w:p>
    <w:p w:rsidR="00040A34" w:rsidRDefault="00040A34" w:rsidP="00040A34">
      <w:pPr>
        <w:jc w:val="both"/>
        <w:rPr>
          <w:rFonts w:ascii="Arial Narrow" w:hAnsi="Arial Narrow"/>
          <w:sz w:val="24"/>
          <w:szCs w:val="24"/>
        </w:rPr>
      </w:pPr>
      <w:r>
        <w:rPr>
          <w:rFonts w:ascii="Arial Narrow" w:hAnsi="Arial Narrow"/>
          <w:sz w:val="24"/>
          <w:szCs w:val="24"/>
        </w:rPr>
        <w:t xml:space="preserve">It is now much more common for economic development organisations to share their impact evidence, especially evaluations. </w:t>
      </w:r>
      <w:r w:rsidR="00355350">
        <w:rPr>
          <w:rFonts w:ascii="Arial Narrow" w:hAnsi="Arial Narrow"/>
          <w:sz w:val="24"/>
          <w:szCs w:val="24"/>
        </w:rPr>
        <w:t xml:space="preserve"> </w:t>
      </w:r>
      <w:r>
        <w:rPr>
          <w:rFonts w:ascii="Arial Narrow" w:hAnsi="Arial Narrow"/>
          <w:sz w:val="24"/>
          <w:szCs w:val="24"/>
        </w:rPr>
        <w:t xml:space="preserve">Within SE it is standard practice that all evaluations, unless they contain company specific information, are published on the website Evaluations Online. </w:t>
      </w:r>
      <w:r w:rsidR="00355350">
        <w:rPr>
          <w:rFonts w:ascii="Arial Narrow" w:hAnsi="Arial Narrow"/>
          <w:sz w:val="24"/>
          <w:szCs w:val="24"/>
        </w:rPr>
        <w:t xml:space="preserve"> </w:t>
      </w:r>
      <w:r>
        <w:rPr>
          <w:rFonts w:ascii="Arial Narrow" w:hAnsi="Arial Narrow"/>
          <w:sz w:val="24"/>
          <w:szCs w:val="24"/>
        </w:rPr>
        <w:t>This has a variety of search engines that can be used to identify suitable comparators.</w:t>
      </w:r>
      <w:r w:rsidR="00355350">
        <w:rPr>
          <w:rFonts w:ascii="Arial Narrow" w:hAnsi="Arial Narrow"/>
          <w:sz w:val="24"/>
          <w:szCs w:val="24"/>
        </w:rPr>
        <w:t xml:space="preserve"> </w:t>
      </w:r>
      <w:r>
        <w:rPr>
          <w:rFonts w:ascii="Arial Narrow" w:hAnsi="Arial Narrow"/>
          <w:sz w:val="24"/>
          <w:szCs w:val="24"/>
        </w:rPr>
        <w:t xml:space="preserve"> It can be found at:-   </w:t>
      </w:r>
    </w:p>
    <w:p w:rsidR="00040A34" w:rsidRPr="000B727C" w:rsidRDefault="00643FA6" w:rsidP="00040A34">
      <w:pPr>
        <w:jc w:val="both"/>
        <w:rPr>
          <w:rFonts w:ascii="Arial Narrow" w:hAnsi="Arial Narrow" w:cs="Arial"/>
          <w:sz w:val="24"/>
          <w:szCs w:val="24"/>
        </w:rPr>
      </w:pPr>
      <w:hyperlink r:id="rId7" w:history="1">
        <w:r w:rsidR="00040A34" w:rsidRPr="000B727C">
          <w:rPr>
            <w:rStyle w:val="Hyperlink"/>
            <w:rFonts w:ascii="Arial Narrow" w:hAnsi="Arial Narrow" w:cs="Arial"/>
            <w:sz w:val="24"/>
            <w:szCs w:val="24"/>
          </w:rPr>
          <w:t>http://www.evaluationsonline.org.uk/evaluations/Index.do</w:t>
        </w:r>
      </w:hyperlink>
      <w:r w:rsidR="00040A34" w:rsidRPr="000B727C">
        <w:rPr>
          <w:rFonts w:ascii="Arial Narrow" w:hAnsi="Arial Narrow" w:cs="Arial"/>
          <w:sz w:val="24"/>
          <w:szCs w:val="24"/>
        </w:rPr>
        <w:t xml:space="preserve"> </w:t>
      </w:r>
    </w:p>
    <w:p w:rsidR="00040A34" w:rsidRDefault="00040A34" w:rsidP="00040A34">
      <w:pPr>
        <w:jc w:val="both"/>
        <w:rPr>
          <w:rFonts w:ascii="Arial Narrow" w:hAnsi="Arial Narrow"/>
          <w:sz w:val="24"/>
          <w:szCs w:val="24"/>
        </w:rPr>
      </w:pPr>
      <w:r>
        <w:rPr>
          <w:rFonts w:ascii="Arial Narrow" w:hAnsi="Arial Narrow"/>
          <w:sz w:val="24"/>
          <w:szCs w:val="24"/>
        </w:rPr>
        <w:t xml:space="preserve">Evaluations Online is a repository of individual evaluations. </w:t>
      </w:r>
      <w:r w:rsidR="00355350">
        <w:rPr>
          <w:rFonts w:ascii="Arial Narrow" w:hAnsi="Arial Narrow"/>
          <w:sz w:val="24"/>
          <w:szCs w:val="24"/>
        </w:rPr>
        <w:t xml:space="preserve"> </w:t>
      </w:r>
      <w:r>
        <w:rPr>
          <w:rFonts w:ascii="Arial Narrow" w:hAnsi="Arial Narrow"/>
          <w:sz w:val="24"/>
          <w:szCs w:val="24"/>
        </w:rPr>
        <w:t xml:space="preserve">In recent years attempts have been made to synthesise the findings from a wide range of individual evaluations and then, from this, to provide general impact metrics for particular types of intervention. </w:t>
      </w:r>
      <w:r w:rsidR="00355350">
        <w:rPr>
          <w:rFonts w:ascii="Arial Narrow" w:hAnsi="Arial Narrow"/>
          <w:sz w:val="24"/>
          <w:szCs w:val="24"/>
        </w:rPr>
        <w:t xml:space="preserve"> </w:t>
      </w:r>
      <w:r>
        <w:rPr>
          <w:rFonts w:ascii="Arial Narrow" w:hAnsi="Arial Narrow"/>
          <w:sz w:val="24"/>
          <w:szCs w:val="24"/>
        </w:rPr>
        <w:t xml:space="preserve">The main recent example is the analysis of the impact of spend by the then 9 English Regional Development Agencies undertaken by PricewaterhouseCoopers (PwC) and published in 2009. </w:t>
      </w:r>
      <w:r w:rsidR="00355350">
        <w:rPr>
          <w:rFonts w:ascii="Arial Narrow" w:hAnsi="Arial Narrow"/>
          <w:sz w:val="24"/>
          <w:szCs w:val="24"/>
        </w:rPr>
        <w:t xml:space="preserve"> </w:t>
      </w:r>
      <w:r>
        <w:rPr>
          <w:rFonts w:ascii="Arial Narrow" w:hAnsi="Arial Narrow"/>
          <w:sz w:val="24"/>
          <w:szCs w:val="24"/>
        </w:rPr>
        <w:t>This contains a large amount of comparative data.</w:t>
      </w:r>
      <w:r w:rsidR="00355350">
        <w:rPr>
          <w:rFonts w:ascii="Arial Narrow" w:hAnsi="Arial Narrow"/>
          <w:sz w:val="24"/>
          <w:szCs w:val="24"/>
        </w:rPr>
        <w:t xml:space="preserve"> </w:t>
      </w:r>
      <w:r>
        <w:rPr>
          <w:rFonts w:ascii="Arial Narrow" w:hAnsi="Arial Narrow"/>
          <w:sz w:val="24"/>
          <w:szCs w:val="24"/>
        </w:rPr>
        <w:t xml:space="preserve"> However, it is now quite dated (having been started in 2007 and drew on an earlier d</w:t>
      </w:r>
      <w:r w:rsidR="007269E3">
        <w:rPr>
          <w:rFonts w:ascii="Arial Narrow" w:hAnsi="Arial Narrow"/>
          <w:sz w:val="24"/>
          <w:szCs w:val="24"/>
        </w:rPr>
        <w:t>ata</w:t>
      </w:r>
      <w:r>
        <w:rPr>
          <w:rFonts w:ascii="Arial Narrow" w:hAnsi="Arial Narrow"/>
          <w:sz w:val="24"/>
          <w:szCs w:val="24"/>
        </w:rPr>
        <w:t xml:space="preserve">base relating to the period 2002/03 to 2006/07 when economic conditions were very different). </w:t>
      </w:r>
      <w:r w:rsidR="00355350">
        <w:rPr>
          <w:rFonts w:ascii="Arial Narrow" w:hAnsi="Arial Narrow"/>
          <w:sz w:val="24"/>
          <w:szCs w:val="24"/>
        </w:rPr>
        <w:t xml:space="preserve"> </w:t>
      </w:r>
      <w:r>
        <w:rPr>
          <w:rFonts w:ascii="Arial Narrow" w:hAnsi="Arial Narrow"/>
          <w:sz w:val="24"/>
          <w:szCs w:val="24"/>
        </w:rPr>
        <w:t xml:space="preserve">Although metrics are given for specific types of intervention these tend to be quite broad so that it can be difficult to find exact comparators. </w:t>
      </w:r>
      <w:r w:rsidR="00355350">
        <w:rPr>
          <w:rFonts w:ascii="Arial Narrow" w:hAnsi="Arial Narrow"/>
          <w:sz w:val="24"/>
          <w:szCs w:val="24"/>
        </w:rPr>
        <w:t xml:space="preserve"> </w:t>
      </w:r>
      <w:r>
        <w:rPr>
          <w:rFonts w:ascii="Arial Narrow" w:hAnsi="Arial Narrow"/>
          <w:sz w:val="24"/>
          <w:szCs w:val="24"/>
        </w:rPr>
        <w:t xml:space="preserve">The evaluations that are drawn on also relate to England. </w:t>
      </w:r>
      <w:r w:rsidR="00355350">
        <w:rPr>
          <w:rFonts w:ascii="Arial Narrow" w:hAnsi="Arial Narrow"/>
          <w:sz w:val="24"/>
          <w:szCs w:val="24"/>
        </w:rPr>
        <w:t xml:space="preserve"> </w:t>
      </w:r>
      <w:r>
        <w:rPr>
          <w:rFonts w:ascii="Arial Narrow" w:hAnsi="Arial Narrow"/>
          <w:sz w:val="24"/>
          <w:szCs w:val="24"/>
        </w:rPr>
        <w:t>Some of the RDAs had very different economies to Scotland so the validity of comparisons can be questioned</w:t>
      </w:r>
      <w:r w:rsidR="007269E3">
        <w:rPr>
          <w:rFonts w:ascii="Arial Narrow" w:hAnsi="Arial Narrow"/>
          <w:sz w:val="24"/>
          <w:szCs w:val="24"/>
        </w:rPr>
        <w:t>.</w:t>
      </w:r>
      <w:r>
        <w:rPr>
          <w:rFonts w:ascii="Arial Narrow" w:hAnsi="Arial Narrow"/>
          <w:sz w:val="24"/>
          <w:szCs w:val="24"/>
        </w:rPr>
        <w:t xml:space="preserve"> However, the study may still be worth referring to:-</w:t>
      </w:r>
    </w:p>
    <w:p w:rsidR="00040A34" w:rsidRPr="000B727C" w:rsidRDefault="00643FA6" w:rsidP="00040A34">
      <w:pPr>
        <w:jc w:val="both"/>
        <w:rPr>
          <w:rFonts w:ascii="Arial Narrow" w:hAnsi="Arial Narrow"/>
          <w:sz w:val="24"/>
          <w:szCs w:val="24"/>
        </w:rPr>
      </w:pPr>
      <w:hyperlink r:id="rId8" w:history="1">
        <w:r w:rsidR="00040A34" w:rsidRPr="000B727C">
          <w:rPr>
            <w:rStyle w:val="Hyperlink"/>
            <w:rFonts w:ascii="Arial Narrow" w:hAnsi="Arial Narrow"/>
            <w:sz w:val="24"/>
            <w:szCs w:val="24"/>
          </w:rPr>
          <w:t>http://www.berr.gov.uk/files/file50735.pdf</w:t>
        </w:r>
      </w:hyperlink>
    </w:p>
    <w:p w:rsidR="00040A34" w:rsidRDefault="00040A34" w:rsidP="00040A34">
      <w:pPr>
        <w:jc w:val="both"/>
        <w:rPr>
          <w:rFonts w:ascii="Arial Narrow" w:hAnsi="Arial Narrow"/>
          <w:sz w:val="24"/>
          <w:szCs w:val="24"/>
        </w:rPr>
      </w:pPr>
      <w:r>
        <w:rPr>
          <w:rFonts w:ascii="Arial Narrow" w:hAnsi="Arial Narrow"/>
          <w:sz w:val="24"/>
          <w:szCs w:val="24"/>
        </w:rPr>
        <w:t xml:space="preserve">The PwC work has then been drawn on, and added to, in order to develop more detailed guidance on additionality metrics. </w:t>
      </w:r>
      <w:r w:rsidR="00355350">
        <w:rPr>
          <w:rFonts w:ascii="Arial Narrow" w:hAnsi="Arial Narrow"/>
          <w:sz w:val="24"/>
          <w:szCs w:val="24"/>
        </w:rPr>
        <w:t xml:space="preserve"> </w:t>
      </w:r>
      <w:r>
        <w:rPr>
          <w:rFonts w:ascii="Arial Narrow" w:hAnsi="Arial Narrow"/>
          <w:sz w:val="24"/>
          <w:szCs w:val="24"/>
        </w:rPr>
        <w:t xml:space="preserve">This work was done by Cambridge Economic Associates and drew on 280 evaluations. </w:t>
      </w:r>
      <w:r w:rsidR="00355350">
        <w:rPr>
          <w:rFonts w:ascii="Arial Narrow" w:hAnsi="Arial Narrow"/>
          <w:sz w:val="24"/>
          <w:szCs w:val="24"/>
        </w:rPr>
        <w:t xml:space="preserve"> </w:t>
      </w:r>
      <w:r>
        <w:rPr>
          <w:rFonts w:ascii="Arial Narrow" w:hAnsi="Arial Narrow"/>
          <w:sz w:val="24"/>
          <w:szCs w:val="24"/>
        </w:rPr>
        <w:t>As with the PwC work the key metrics are reported by theme and sub-theme. The report is available here:-</w:t>
      </w:r>
    </w:p>
    <w:p w:rsidR="00040A34" w:rsidRPr="007269E3" w:rsidRDefault="00643FA6" w:rsidP="00040A34">
      <w:pPr>
        <w:jc w:val="both"/>
        <w:rPr>
          <w:rFonts w:ascii="Arial Narrow" w:hAnsi="Arial Narrow" w:cs="Arial"/>
          <w:sz w:val="24"/>
          <w:szCs w:val="24"/>
        </w:rPr>
      </w:pPr>
      <w:hyperlink r:id="rId9" w:history="1">
        <w:r w:rsidR="00040A34" w:rsidRPr="007269E3">
          <w:rPr>
            <w:rStyle w:val="Hyperlink"/>
            <w:rFonts w:ascii="Arial Narrow" w:hAnsi="Arial Narrow" w:cs="Arial"/>
            <w:sz w:val="24"/>
            <w:szCs w:val="24"/>
          </w:rPr>
          <w:t>http://www.bis.gov.uk/assets/biscore/economics-and-statistics/docs/09-1302-bis-occasional-paper-01</w:t>
        </w:r>
      </w:hyperlink>
      <w:r w:rsidR="00040A34" w:rsidRPr="007269E3">
        <w:rPr>
          <w:rFonts w:ascii="Arial Narrow" w:hAnsi="Arial Narrow" w:cs="Arial"/>
          <w:sz w:val="24"/>
          <w:szCs w:val="24"/>
        </w:rPr>
        <w:t xml:space="preserve"> </w:t>
      </w:r>
    </w:p>
    <w:p w:rsidR="00040A34" w:rsidRDefault="00040A34" w:rsidP="00040A34">
      <w:pPr>
        <w:jc w:val="both"/>
        <w:rPr>
          <w:rFonts w:ascii="Arial Narrow" w:hAnsi="Arial Narrow"/>
          <w:sz w:val="24"/>
          <w:szCs w:val="24"/>
        </w:rPr>
      </w:pPr>
      <w:r>
        <w:rPr>
          <w:rFonts w:ascii="Arial Narrow" w:hAnsi="Arial Narrow"/>
          <w:sz w:val="24"/>
          <w:szCs w:val="24"/>
        </w:rPr>
        <w:lastRenderedPageBreak/>
        <w:t>Subsequently a short guidance note on using the benchmarks was produced:-</w:t>
      </w:r>
    </w:p>
    <w:p w:rsidR="00040A34" w:rsidRPr="000B727C" w:rsidRDefault="00643FA6" w:rsidP="00040A34">
      <w:pPr>
        <w:jc w:val="both"/>
        <w:rPr>
          <w:rFonts w:ascii="Arial Narrow" w:hAnsi="Arial Narrow"/>
          <w:sz w:val="24"/>
          <w:szCs w:val="24"/>
        </w:rPr>
      </w:pPr>
      <w:hyperlink r:id="rId10" w:history="1">
        <w:r w:rsidR="00040A34" w:rsidRPr="000B727C">
          <w:rPr>
            <w:rStyle w:val="Hyperlink"/>
            <w:rFonts w:ascii="Arial Narrow" w:hAnsi="Arial Narrow"/>
            <w:sz w:val="24"/>
            <w:szCs w:val="24"/>
          </w:rPr>
          <w:t>http://www.bis.gov.uk/files/file54063.pdf</w:t>
        </w:r>
      </w:hyperlink>
    </w:p>
    <w:p w:rsidR="00040A34" w:rsidRDefault="00040A34" w:rsidP="00040A34">
      <w:pPr>
        <w:jc w:val="both"/>
        <w:rPr>
          <w:rFonts w:ascii="Arial Narrow" w:hAnsi="Arial Narrow"/>
          <w:b/>
          <w:sz w:val="28"/>
          <w:szCs w:val="28"/>
        </w:rPr>
      </w:pPr>
      <w:r>
        <w:rPr>
          <w:rFonts w:ascii="Arial Narrow" w:hAnsi="Arial Narrow"/>
          <w:b/>
          <w:sz w:val="28"/>
          <w:szCs w:val="28"/>
        </w:rPr>
        <w:t>SE’s own benchmarks</w:t>
      </w:r>
    </w:p>
    <w:p w:rsidR="00040A34" w:rsidRDefault="00040A34" w:rsidP="00040A34">
      <w:pPr>
        <w:jc w:val="both"/>
        <w:rPr>
          <w:rFonts w:ascii="Arial Narrow" w:hAnsi="Arial Narrow"/>
          <w:sz w:val="24"/>
          <w:szCs w:val="24"/>
        </w:rPr>
      </w:pPr>
      <w:r>
        <w:rPr>
          <w:rFonts w:ascii="Arial Narrow" w:hAnsi="Arial Narrow"/>
          <w:sz w:val="24"/>
          <w:szCs w:val="24"/>
        </w:rPr>
        <w:t xml:space="preserve">Whilst the sources outlined above are useful, SE is increasingly developing its own benchmark database which feeds the impact model. </w:t>
      </w:r>
      <w:r w:rsidR="00355350">
        <w:rPr>
          <w:rFonts w:ascii="Arial Narrow" w:hAnsi="Arial Narrow"/>
          <w:sz w:val="24"/>
          <w:szCs w:val="24"/>
        </w:rPr>
        <w:t xml:space="preserve"> </w:t>
      </w:r>
      <w:r>
        <w:rPr>
          <w:rFonts w:ascii="Arial Narrow" w:hAnsi="Arial Narrow"/>
          <w:sz w:val="24"/>
          <w:szCs w:val="24"/>
        </w:rPr>
        <w:t>This draws on appraisal and evaluation work (undertaken to a consistent and transparent standard) and generates data on such things as:-</w:t>
      </w:r>
    </w:p>
    <w:p w:rsidR="00040A34" w:rsidRDefault="00040A34" w:rsidP="00040A34">
      <w:pPr>
        <w:numPr>
          <w:ilvl w:val="0"/>
          <w:numId w:val="3"/>
        </w:numPr>
        <w:spacing w:after="0"/>
        <w:jc w:val="both"/>
        <w:rPr>
          <w:rFonts w:ascii="Arial Narrow" w:hAnsi="Arial Narrow"/>
          <w:sz w:val="24"/>
          <w:szCs w:val="24"/>
        </w:rPr>
      </w:pPr>
      <w:r>
        <w:rPr>
          <w:rFonts w:ascii="Arial Narrow" w:hAnsi="Arial Narrow"/>
          <w:sz w:val="24"/>
          <w:szCs w:val="24"/>
        </w:rPr>
        <w:t>The key additionality metrics, such as deadweight and displacement;</w:t>
      </w:r>
    </w:p>
    <w:p w:rsidR="00040A34" w:rsidRDefault="00040A34" w:rsidP="00040A34">
      <w:pPr>
        <w:numPr>
          <w:ilvl w:val="0"/>
          <w:numId w:val="3"/>
        </w:numPr>
        <w:spacing w:after="0"/>
        <w:jc w:val="both"/>
        <w:rPr>
          <w:rFonts w:ascii="Arial Narrow" w:hAnsi="Arial Narrow"/>
          <w:sz w:val="24"/>
          <w:szCs w:val="24"/>
        </w:rPr>
      </w:pPr>
      <w:r>
        <w:rPr>
          <w:rFonts w:ascii="Arial Narrow" w:hAnsi="Arial Narrow"/>
          <w:sz w:val="24"/>
          <w:szCs w:val="24"/>
        </w:rPr>
        <w:t xml:space="preserve">The impact ratios for SE’s themes and sectors; and </w:t>
      </w:r>
    </w:p>
    <w:p w:rsidR="00040A34" w:rsidRDefault="00040A34" w:rsidP="00040A34">
      <w:pPr>
        <w:numPr>
          <w:ilvl w:val="0"/>
          <w:numId w:val="3"/>
        </w:numPr>
        <w:spacing w:after="0"/>
        <w:jc w:val="both"/>
        <w:rPr>
          <w:rFonts w:ascii="Arial Narrow" w:hAnsi="Arial Narrow"/>
          <w:sz w:val="24"/>
          <w:szCs w:val="24"/>
        </w:rPr>
      </w:pPr>
      <w:r>
        <w:rPr>
          <w:rFonts w:ascii="Arial Narrow" w:hAnsi="Arial Narrow"/>
          <w:sz w:val="24"/>
          <w:szCs w:val="24"/>
        </w:rPr>
        <w:t>Costs per net job.</w:t>
      </w:r>
    </w:p>
    <w:p w:rsidR="00040A34" w:rsidRDefault="00040A34" w:rsidP="00040A34">
      <w:pPr>
        <w:spacing w:after="0"/>
        <w:ind w:left="720"/>
        <w:jc w:val="both"/>
        <w:rPr>
          <w:rFonts w:ascii="Arial Narrow" w:hAnsi="Arial Narrow"/>
          <w:sz w:val="24"/>
          <w:szCs w:val="24"/>
        </w:rPr>
      </w:pPr>
    </w:p>
    <w:p w:rsidR="00040A34" w:rsidRDefault="00040A34" w:rsidP="00040A34">
      <w:pPr>
        <w:spacing w:after="0"/>
        <w:jc w:val="both"/>
        <w:rPr>
          <w:rFonts w:ascii="Arial Narrow" w:hAnsi="Arial Narrow"/>
          <w:sz w:val="24"/>
          <w:szCs w:val="24"/>
        </w:rPr>
      </w:pPr>
      <w:r>
        <w:rPr>
          <w:rFonts w:ascii="Arial Narrow" w:hAnsi="Arial Narrow"/>
          <w:sz w:val="24"/>
          <w:szCs w:val="24"/>
        </w:rPr>
        <w:t>This benchmarking data has a number of advantages:-</w:t>
      </w:r>
    </w:p>
    <w:p w:rsidR="00040A34" w:rsidRDefault="00040A34" w:rsidP="00040A34">
      <w:pPr>
        <w:spacing w:after="0"/>
        <w:jc w:val="both"/>
        <w:rPr>
          <w:rFonts w:ascii="Arial Narrow" w:hAnsi="Arial Narrow"/>
          <w:sz w:val="24"/>
          <w:szCs w:val="24"/>
        </w:rPr>
      </w:pPr>
    </w:p>
    <w:p w:rsidR="00040A34" w:rsidRDefault="00040A34" w:rsidP="00040A34">
      <w:pPr>
        <w:numPr>
          <w:ilvl w:val="0"/>
          <w:numId w:val="4"/>
        </w:numPr>
        <w:spacing w:after="0"/>
        <w:jc w:val="both"/>
        <w:rPr>
          <w:rFonts w:ascii="Arial Narrow" w:hAnsi="Arial Narrow"/>
          <w:sz w:val="24"/>
          <w:szCs w:val="24"/>
        </w:rPr>
      </w:pPr>
      <w:r>
        <w:rPr>
          <w:rFonts w:ascii="Arial Narrow" w:hAnsi="Arial Narrow"/>
          <w:sz w:val="24"/>
          <w:szCs w:val="24"/>
        </w:rPr>
        <w:t>It relates to SE’s own interventions;</w:t>
      </w:r>
    </w:p>
    <w:p w:rsidR="00040A34" w:rsidRDefault="00040A34" w:rsidP="00040A34">
      <w:pPr>
        <w:numPr>
          <w:ilvl w:val="0"/>
          <w:numId w:val="4"/>
        </w:numPr>
        <w:spacing w:after="0"/>
        <w:jc w:val="both"/>
        <w:rPr>
          <w:rFonts w:ascii="Arial Narrow" w:hAnsi="Arial Narrow"/>
          <w:sz w:val="24"/>
          <w:szCs w:val="24"/>
        </w:rPr>
      </w:pPr>
      <w:r>
        <w:rPr>
          <w:rFonts w:ascii="Arial Narrow" w:hAnsi="Arial Narrow"/>
          <w:sz w:val="24"/>
          <w:szCs w:val="24"/>
        </w:rPr>
        <w:t>It uses methodologies that are generally consistent and comparable; and</w:t>
      </w:r>
    </w:p>
    <w:p w:rsidR="00040A34" w:rsidRDefault="00040A34" w:rsidP="00040A34">
      <w:pPr>
        <w:numPr>
          <w:ilvl w:val="0"/>
          <w:numId w:val="4"/>
        </w:numPr>
        <w:spacing w:after="0"/>
        <w:jc w:val="both"/>
        <w:rPr>
          <w:rFonts w:ascii="Arial Narrow" w:hAnsi="Arial Narrow"/>
          <w:sz w:val="24"/>
          <w:szCs w:val="24"/>
        </w:rPr>
      </w:pPr>
      <w:r>
        <w:rPr>
          <w:rFonts w:ascii="Arial Narrow" w:hAnsi="Arial Narrow"/>
          <w:sz w:val="24"/>
          <w:szCs w:val="24"/>
        </w:rPr>
        <w:t>It is being continually updated and added to as new evidence becomes available.</w:t>
      </w:r>
    </w:p>
    <w:p w:rsidR="00040A34" w:rsidRDefault="00040A34" w:rsidP="00040A34">
      <w:pPr>
        <w:spacing w:after="0"/>
        <w:ind w:left="720"/>
        <w:jc w:val="both"/>
        <w:rPr>
          <w:rFonts w:ascii="Arial Narrow" w:hAnsi="Arial Narrow"/>
          <w:sz w:val="24"/>
          <w:szCs w:val="24"/>
        </w:rPr>
      </w:pPr>
    </w:p>
    <w:p w:rsidR="00040A34" w:rsidRDefault="00040A34" w:rsidP="00040A34">
      <w:pPr>
        <w:jc w:val="both"/>
        <w:rPr>
          <w:rFonts w:ascii="Arial Narrow" w:hAnsi="Arial Narrow"/>
          <w:sz w:val="24"/>
          <w:szCs w:val="24"/>
        </w:rPr>
      </w:pPr>
      <w:r>
        <w:rPr>
          <w:rFonts w:ascii="Arial Narrow" w:hAnsi="Arial Narrow"/>
          <w:sz w:val="24"/>
          <w:szCs w:val="24"/>
        </w:rPr>
        <w:t>Appendix 1 contains impact ratio metrics and the costs of creating a job for themes and sectors. It should be noted that:-</w:t>
      </w:r>
    </w:p>
    <w:p w:rsidR="00040A34" w:rsidRDefault="00040A34" w:rsidP="00040A34">
      <w:pPr>
        <w:numPr>
          <w:ilvl w:val="0"/>
          <w:numId w:val="5"/>
        </w:numPr>
        <w:spacing w:after="0"/>
        <w:jc w:val="both"/>
        <w:rPr>
          <w:rFonts w:ascii="Arial Narrow" w:hAnsi="Arial Narrow"/>
          <w:sz w:val="24"/>
          <w:szCs w:val="24"/>
        </w:rPr>
      </w:pPr>
      <w:r>
        <w:rPr>
          <w:rFonts w:ascii="Arial Narrow" w:hAnsi="Arial Narrow"/>
          <w:sz w:val="24"/>
          <w:szCs w:val="24"/>
        </w:rPr>
        <w:t>The data is drawn from over 70 evidence sources, although not all of these are evaluations;</w:t>
      </w:r>
    </w:p>
    <w:p w:rsidR="00040A34" w:rsidRDefault="00040A34" w:rsidP="00040A34">
      <w:pPr>
        <w:numPr>
          <w:ilvl w:val="0"/>
          <w:numId w:val="5"/>
        </w:numPr>
        <w:spacing w:after="0"/>
        <w:jc w:val="both"/>
        <w:rPr>
          <w:rFonts w:ascii="Arial Narrow" w:hAnsi="Arial Narrow"/>
          <w:sz w:val="24"/>
          <w:szCs w:val="24"/>
        </w:rPr>
      </w:pPr>
      <w:r>
        <w:rPr>
          <w:rFonts w:ascii="Arial Narrow" w:hAnsi="Arial Narrow"/>
          <w:sz w:val="24"/>
          <w:szCs w:val="24"/>
        </w:rPr>
        <w:t>The job costs are derived from GVA metrics by the application of an average GVA per employee figure (£54,000). As such they should be treated as indicative rather than definitive;</w:t>
      </w:r>
    </w:p>
    <w:p w:rsidR="00040A34" w:rsidRDefault="00040A34" w:rsidP="00040A34">
      <w:pPr>
        <w:numPr>
          <w:ilvl w:val="0"/>
          <w:numId w:val="5"/>
        </w:numPr>
        <w:spacing w:after="0"/>
        <w:jc w:val="both"/>
        <w:rPr>
          <w:rFonts w:ascii="Arial Narrow" w:hAnsi="Arial Narrow"/>
          <w:sz w:val="24"/>
          <w:szCs w:val="24"/>
        </w:rPr>
      </w:pPr>
      <w:r>
        <w:rPr>
          <w:rFonts w:ascii="Arial Narrow" w:hAnsi="Arial Narrow"/>
          <w:sz w:val="24"/>
          <w:szCs w:val="24"/>
        </w:rPr>
        <w:t>The impacts are reported over ten years. One consequence of this is that infrastructure and other “slow burn” initiatives such as Research and Development and Commercialisation may have their ultimate impacts underestimated; and</w:t>
      </w:r>
    </w:p>
    <w:p w:rsidR="00040A34" w:rsidRDefault="00040A34" w:rsidP="00040A34">
      <w:pPr>
        <w:numPr>
          <w:ilvl w:val="0"/>
          <w:numId w:val="5"/>
        </w:numPr>
        <w:spacing w:after="0"/>
        <w:jc w:val="both"/>
        <w:rPr>
          <w:rFonts w:ascii="Arial Narrow" w:hAnsi="Arial Narrow"/>
          <w:sz w:val="24"/>
          <w:szCs w:val="24"/>
        </w:rPr>
      </w:pPr>
      <w:r>
        <w:rPr>
          <w:rFonts w:ascii="Arial Narrow" w:hAnsi="Arial Narrow"/>
          <w:sz w:val="24"/>
          <w:szCs w:val="24"/>
        </w:rPr>
        <w:t xml:space="preserve">The Tables draw on data from different sources so that there may be some slight anomalies. </w:t>
      </w:r>
    </w:p>
    <w:p w:rsidR="007269E3" w:rsidRPr="007269E3" w:rsidRDefault="007269E3" w:rsidP="007269E3">
      <w:pPr>
        <w:spacing w:line="240" w:lineRule="auto"/>
        <w:jc w:val="both"/>
        <w:rPr>
          <w:rFonts w:ascii="Arial Narrow" w:hAnsi="Arial Narrow"/>
          <w:sz w:val="16"/>
          <w:szCs w:val="16"/>
        </w:rPr>
      </w:pPr>
    </w:p>
    <w:p w:rsidR="00040A34" w:rsidRDefault="00040A34" w:rsidP="007269E3">
      <w:pPr>
        <w:jc w:val="both"/>
        <w:rPr>
          <w:rFonts w:ascii="Arial Narrow" w:hAnsi="Arial Narrow"/>
          <w:sz w:val="24"/>
          <w:szCs w:val="24"/>
        </w:rPr>
      </w:pPr>
      <w:r>
        <w:rPr>
          <w:rFonts w:ascii="Arial Narrow" w:hAnsi="Arial Narrow"/>
          <w:sz w:val="24"/>
          <w:szCs w:val="24"/>
        </w:rPr>
        <w:t>However, these should not be overstated as what is important is not the exact figure but the order of magnitude.</w:t>
      </w:r>
    </w:p>
    <w:p w:rsidR="00040A34" w:rsidRDefault="00040A34" w:rsidP="00040A34">
      <w:pPr>
        <w:jc w:val="both"/>
        <w:rPr>
          <w:rFonts w:ascii="Arial Narrow" w:hAnsi="Arial Narrow"/>
          <w:sz w:val="24"/>
          <w:szCs w:val="24"/>
        </w:rPr>
      </w:pPr>
      <w:r>
        <w:rPr>
          <w:rFonts w:ascii="Arial Narrow" w:hAnsi="Arial Narrow"/>
          <w:sz w:val="24"/>
          <w:szCs w:val="24"/>
        </w:rPr>
        <w:t>If benchmark additionality metrics are required then the contact below should initially be approached.</w:t>
      </w:r>
    </w:p>
    <w:p w:rsidR="00040A34" w:rsidRDefault="00040A34" w:rsidP="00040A34">
      <w:pPr>
        <w:jc w:val="both"/>
        <w:rPr>
          <w:rFonts w:ascii="Arial Narrow" w:hAnsi="Arial Narrow"/>
          <w:b/>
          <w:sz w:val="28"/>
          <w:szCs w:val="28"/>
        </w:rPr>
      </w:pPr>
      <w:r>
        <w:rPr>
          <w:rFonts w:ascii="Arial Narrow" w:hAnsi="Arial Narrow"/>
          <w:b/>
          <w:sz w:val="28"/>
          <w:szCs w:val="28"/>
        </w:rPr>
        <w:t>Need more help?</w:t>
      </w:r>
    </w:p>
    <w:p w:rsidR="00040A34" w:rsidRPr="007269E3" w:rsidRDefault="00040A34" w:rsidP="00040A34">
      <w:pPr>
        <w:jc w:val="both"/>
        <w:rPr>
          <w:rFonts w:ascii="Arial Narrow" w:hAnsi="Arial Narrow"/>
          <w:sz w:val="24"/>
          <w:szCs w:val="24"/>
        </w:rPr>
      </w:pPr>
      <w:r w:rsidRPr="007269E3">
        <w:rPr>
          <w:rFonts w:ascii="Arial Narrow" w:hAnsi="Arial Narrow"/>
          <w:sz w:val="24"/>
          <w:szCs w:val="24"/>
        </w:rPr>
        <w:t>For further information contact:-</w:t>
      </w:r>
    </w:p>
    <w:p w:rsidR="00040A34" w:rsidRPr="007269E3" w:rsidRDefault="00040A34" w:rsidP="00040A34">
      <w:pPr>
        <w:jc w:val="both"/>
        <w:rPr>
          <w:rFonts w:ascii="Arial Narrow" w:hAnsi="Arial Narrow"/>
          <w:sz w:val="24"/>
          <w:szCs w:val="24"/>
        </w:rPr>
      </w:pPr>
      <w:r w:rsidRPr="007269E3">
        <w:rPr>
          <w:rFonts w:ascii="Arial Narrow" w:hAnsi="Arial Narrow"/>
          <w:sz w:val="24"/>
          <w:szCs w:val="24"/>
        </w:rPr>
        <w:t>Suzanne Fleming, 0141-228-2062</w:t>
      </w:r>
    </w:p>
    <w:p w:rsidR="00040A34" w:rsidRPr="007269E3" w:rsidRDefault="00643FA6" w:rsidP="00040A34">
      <w:pPr>
        <w:jc w:val="both"/>
        <w:rPr>
          <w:rFonts w:ascii="Arial Narrow" w:hAnsi="Arial Narrow"/>
          <w:sz w:val="24"/>
          <w:szCs w:val="24"/>
        </w:rPr>
      </w:pPr>
      <w:hyperlink r:id="rId11" w:history="1">
        <w:r w:rsidR="00040A34" w:rsidRPr="007269E3">
          <w:rPr>
            <w:rStyle w:val="Hyperlink"/>
            <w:rFonts w:ascii="Arial Narrow" w:hAnsi="Arial Narrow"/>
            <w:sz w:val="24"/>
            <w:szCs w:val="24"/>
          </w:rPr>
          <w:t>Suzanne.fleming@scotent.co.uk</w:t>
        </w:r>
      </w:hyperlink>
      <w:r w:rsidR="00040A34" w:rsidRPr="007269E3">
        <w:rPr>
          <w:rFonts w:ascii="Arial Narrow" w:hAnsi="Arial Narrow"/>
          <w:sz w:val="24"/>
          <w:szCs w:val="24"/>
        </w:rPr>
        <w:t xml:space="preserve"> </w:t>
      </w:r>
    </w:p>
    <w:p w:rsidR="00040A34" w:rsidRDefault="00040A34" w:rsidP="00040A34">
      <w:pPr>
        <w:jc w:val="both"/>
        <w:rPr>
          <w:rFonts w:ascii="Arial Narrow" w:hAnsi="Arial Narrow"/>
          <w:sz w:val="24"/>
          <w:szCs w:val="24"/>
        </w:rPr>
      </w:pPr>
    </w:p>
    <w:p w:rsidR="00040A34" w:rsidRDefault="00040A34" w:rsidP="00040A34">
      <w:pPr>
        <w:jc w:val="both"/>
        <w:rPr>
          <w:rFonts w:ascii="Arial Narrow" w:hAnsi="Arial Narrow"/>
          <w:sz w:val="24"/>
          <w:szCs w:val="24"/>
        </w:rPr>
      </w:pPr>
      <w:r>
        <w:rPr>
          <w:rFonts w:ascii="Arial Narrow" w:hAnsi="Arial Narrow"/>
          <w:sz w:val="24"/>
          <w:szCs w:val="24"/>
        </w:rPr>
        <w:t xml:space="preserve"> </w:t>
      </w:r>
    </w:p>
    <w:p w:rsidR="00040A34" w:rsidRDefault="00040A34" w:rsidP="00040A34">
      <w:pPr>
        <w:rPr>
          <w:rFonts w:ascii="Arial Narrow" w:hAnsi="Arial Narrow"/>
          <w:b/>
          <w:sz w:val="28"/>
          <w:szCs w:val="28"/>
        </w:rPr>
      </w:pPr>
      <w:r>
        <w:rPr>
          <w:rFonts w:ascii="Arial Narrow" w:hAnsi="Arial Narrow"/>
          <w:b/>
          <w:sz w:val="28"/>
          <w:szCs w:val="28"/>
        </w:rPr>
        <w:lastRenderedPageBreak/>
        <w:t xml:space="preserve">Appendix 1     </w:t>
      </w:r>
      <w:r>
        <w:rPr>
          <w:rFonts w:ascii="Arial Narrow" w:hAnsi="Arial Narrow"/>
          <w:b/>
          <w:sz w:val="28"/>
          <w:szCs w:val="28"/>
        </w:rPr>
        <w:tab/>
        <w:t>Benchmarking Metrics for Impact Ratios and Jobs</w:t>
      </w:r>
    </w:p>
    <w:p w:rsidR="00040A34" w:rsidRDefault="00040A34" w:rsidP="00040A34">
      <w:pPr>
        <w:jc w:val="both"/>
        <w:rPr>
          <w:rFonts w:ascii="Arial Narrow" w:hAnsi="Arial Narrow"/>
          <w:b/>
          <w:sz w:val="28"/>
          <w:szCs w:val="28"/>
        </w:rPr>
      </w:pPr>
      <w:r>
        <w:rPr>
          <w:rFonts w:ascii="Arial Narrow" w:hAnsi="Arial Narrow"/>
          <w:b/>
          <w:sz w:val="28"/>
          <w:szCs w:val="28"/>
        </w:rPr>
        <w:t>Caveat</w:t>
      </w:r>
    </w:p>
    <w:p w:rsidR="00040A34" w:rsidRDefault="00040A34" w:rsidP="00040A34">
      <w:pPr>
        <w:jc w:val="both"/>
        <w:rPr>
          <w:rFonts w:ascii="Arial Narrow" w:hAnsi="Arial Narrow"/>
          <w:sz w:val="24"/>
          <w:szCs w:val="24"/>
        </w:rPr>
      </w:pPr>
      <w:r>
        <w:rPr>
          <w:rFonts w:ascii="Arial Narrow" w:hAnsi="Arial Narrow"/>
          <w:sz w:val="24"/>
          <w:szCs w:val="24"/>
        </w:rPr>
        <w:t xml:space="preserve">The information given here should be treated with care. </w:t>
      </w:r>
      <w:r w:rsidR="00355350">
        <w:rPr>
          <w:rFonts w:ascii="Arial Narrow" w:hAnsi="Arial Narrow"/>
          <w:sz w:val="24"/>
          <w:szCs w:val="24"/>
        </w:rPr>
        <w:t xml:space="preserve"> </w:t>
      </w:r>
      <w:r>
        <w:rPr>
          <w:rFonts w:ascii="Arial Narrow" w:hAnsi="Arial Narrow"/>
          <w:sz w:val="24"/>
          <w:szCs w:val="24"/>
        </w:rPr>
        <w:t xml:space="preserve">The ratios and costs per job clearly vary. However, the economic impacts are only one factor that SE takes account of when making decisions on project funding. </w:t>
      </w:r>
      <w:r w:rsidR="00355350">
        <w:rPr>
          <w:rFonts w:ascii="Arial Narrow" w:hAnsi="Arial Narrow"/>
          <w:sz w:val="24"/>
          <w:szCs w:val="24"/>
        </w:rPr>
        <w:t xml:space="preserve"> </w:t>
      </w:r>
      <w:r>
        <w:rPr>
          <w:rFonts w:ascii="Arial Narrow" w:hAnsi="Arial Narrow"/>
          <w:sz w:val="24"/>
          <w:szCs w:val="24"/>
        </w:rPr>
        <w:t>It is also the case that the impacts may not be scalable: for example doubling the resources going to an area where the impact ratio is high may not re</w:t>
      </w:r>
      <w:r w:rsidR="007269E3">
        <w:rPr>
          <w:rFonts w:ascii="Arial Narrow" w:hAnsi="Arial Narrow"/>
          <w:sz w:val="24"/>
          <w:szCs w:val="24"/>
        </w:rPr>
        <w:t>sult in a doubling of impact.</w:t>
      </w:r>
      <w:r w:rsidR="00355350">
        <w:rPr>
          <w:rFonts w:ascii="Arial Narrow" w:hAnsi="Arial Narrow"/>
          <w:sz w:val="24"/>
          <w:szCs w:val="24"/>
        </w:rPr>
        <w:t xml:space="preserve"> </w:t>
      </w:r>
      <w:r w:rsidR="007269E3">
        <w:rPr>
          <w:rFonts w:ascii="Arial Narrow" w:hAnsi="Arial Narrow"/>
          <w:sz w:val="24"/>
          <w:szCs w:val="24"/>
        </w:rPr>
        <w:t xml:space="preserve"> </w:t>
      </w:r>
      <w:r>
        <w:rPr>
          <w:rFonts w:ascii="Arial Narrow" w:hAnsi="Arial Narrow"/>
          <w:sz w:val="24"/>
          <w:szCs w:val="24"/>
        </w:rPr>
        <w:t>SE may be working with the majo</w:t>
      </w:r>
      <w:r w:rsidR="007269E3">
        <w:rPr>
          <w:rFonts w:ascii="Arial Narrow" w:hAnsi="Arial Narrow"/>
          <w:sz w:val="24"/>
          <w:szCs w:val="24"/>
        </w:rPr>
        <w:t>rity of companies in this area</w:t>
      </w:r>
      <w:r>
        <w:rPr>
          <w:rFonts w:ascii="Arial Narrow" w:hAnsi="Arial Narrow"/>
          <w:sz w:val="24"/>
          <w:szCs w:val="24"/>
        </w:rPr>
        <w:t xml:space="preserve"> that have growth aspirations so that increasing spend may mean working with companies that have limited growth ambitions. </w:t>
      </w:r>
      <w:r w:rsidR="00355350">
        <w:rPr>
          <w:rFonts w:ascii="Arial Narrow" w:hAnsi="Arial Narrow"/>
          <w:sz w:val="24"/>
          <w:szCs w:val="24"/>
        </w:rPr>
        <w:t xml:space="preserve"> </w:t>
      </w:r>
      <w:r>
        <w:rPr>
          <w:rFonts w:ascii="Arial Narrow" w:hAnsi="Arial Narrow"/>
          <w:sz w:val="24"/>
          <w:szCs w:val="24"/>
        </w:rPr>
        <w:t>Thus, paradoxically, increasing spend may result in decreasing impacts.</w:t>
      </w:r>
    </w:p>
    <w:p w:rsidR="00040A34" w:rsidRDefault="00040A34" w:rsidP="00040A34">
      <w:pPr>
        <w:jc w:val="both"/>
        <w:rPr>
          <w:rFonts w:ascii="Arial Narrow" w:hAnsi="Arial Narrow"/>
          <w:sz w:val="24"/>
          <w:szCs w:val="24"/>
        </w:rPr>
      </w:pPr>
      <w:r>
        <w:rPr>
          <w:rFonts w:ascii="Arial Narrow" w:hAnsi="Arial Narrow"/>
          <w:sz w:val="24"/>
          <w:szCs w:val="24"/>
        </w:rPr>
        <w:t xml:space="preserve">SE also wants a balanced portfolio of interventions, in part as this balances risk. </w:t>
      </w:r>
      <w:r w:rsidR="00355350">
        <w:rPr>
          <w:rFonts w:ascii="Arial Narrow" w:hAnsi="Arial Narrow"/>
          <w:sz w:val="24"/>
          <w:szCs w:val="24"/>
        </w:rPr>
        <w:t xml:space="preserve"> </w:t>
      </w:r>
      <w:r>
        <w:rPr>
          <w:rFonts w:ascii="Arial Narrow" w:hAnsi="Arial Narrow"/>
          <w:sz w:val="24"/>
          <w:szCs w:val="24"/>
        </w:rPr>
        <w:t xml:space="preserve">Thus the correct use of the benchmarks is to compare performance, either predicted or achieved, between similar types of interventions. </w:t>
      </w:r>
      <w:r w:rsidR="00355350">
        <w:rPr>
          <w:rFonts w:ascii="Arial Narrow" w:hAnsi="Arial Narrow"/>
          <w:sz w:val="24"/>
          <w:szCs w:val="24"/>
        </w:rPr>
        <w:t xml:space="preserve"> </w:t>
      </w:r>
      <w:r>
        <w:rPr>
          <w:rFonts w:ascii="Arial Narrow" w:hAnsi="Arial Narrow"/>
          <w:sz w:val="24"/>
          <w:szCs w:val="24"/>
        </w:rPr>
        <w:t>The outcome of such a comparison may then require further investigation.</w:t>
      </w:r>
    </w:p>
    <w:p w:rsidR="00040A34" w:rsidRDefault="00040A34" w:rsidP="00040A34">
      <w:pPr>
        <w:jc w:val="both"/>
        <w:rPr>
          <w:rFonts w:ascii="Arial Narrow" w:hAnsi="Arial Narrow"/>
          <w:sz w:val="24"/>
          <w:szCs w:val="24"/>
        </w:rPr>
      </w:pPr>
      <w:r>
        <w:rPr>
          <w:rFonts w:ascii="Arial Narrow" w:hAnsi="Arial Narrow"/>
          <w:sz w:val="24"/>
          <w:szCs w:val="24"/>
        </w:rPr>
        <w:t xml:space="preserve">It is also the case that the data is updated as new evidence becomes available. </w:t>
      </w:r>
      <w:r w:rsidR="00355350">
        <w:rPr>
          <w:rFonts w:ascii="Arial Narrow" w:hAnsi="Arial Narrow"/>
          <w:sz w:val="24"/>
          <w:szCs w:val="24"/>
        </w:rPr>
        <w:t xml:space="preserve"> </w:t>
      </w:r>
      <w:r>
        <w:rPr>
          <w:rFonts w:ascii="Arial Narrow" w:hAnsi="Arial Narrow"/>
          <w:sz w:val="24"/>
          <w:szCs w:val="24"/>
        </w:rPr>
        <w:t xml:space="preserve">Accordingly the contact given </w:t>
      </w:r>
      <w:r w:rsidR="007269E3">
        <w:rPr>
          <w:rFonts w:ascii="Arial Narrow" w:hAnsi="Arial Narrow"/>
          <w:sz w:val="24"/>
          <w:szCs w:val="24"/>
        </w:rPr>
        <w:t>previously</w:t>
      </w:r>
      <w:r>
        <w:rPr>
          <w:rFonts w:ascii="Arial Narrow" w:hAnsi="Arial Narrow"/>
          <w:sz w:val="24"/>
          <w:szCs w:val="24"/>
        </w:rPr>
        <w:t xml:space="preserve"> should be referred to before making use of this data.</w:t>
      </w:r>
    </w:p>
    <w:p w:rsidR="00040A34" w:rsidRDefault="00040A34" w:rsidP="00040A34">
      <w:pPr>
        <w:rPr>
          <w:rFonts w:ascii="Arial Narrow" w:hAnsi="Arial Narrow"/>
          <w:b/>
        </w:rPr>
      </w:pPr>
    </w:p>
    <w:p w:rsidR="00040A34" w:rsidRDefault="00040A34" w:rsidP="00040A34">
      <w:pPr>
        <w:rPr>
          <w:rFonts w:ascii="Arial Narrow" w:hAnsi="Arial Narrow"/>
          <w:b/>
          <w:u w:val="single"/>
        </w:rPr>
      </w:pPr>
      <w:r>
        <w:rPr>
          <w:rFonts w:ascii="Arial Narrow" w:hAnsi="Arial Narrow"/>
          <w:b/>
        </w:rPr>
        <w:t>TABLE A.1</w:t>
      </w:r>
      <w:r>
        <w:rPr>
          <w:rFonts w:ascii="Arial Narrow" w:hAnsi="Arial Narrow"/>
          <w:b/>
        </w:rPr>
        <w:tab/>
      </w:r>
      <w:r>
        <w:rPr>
          <w:rFonts w:ascii="Arial Narrow" w:hAnsi="Arial Narrow"/>
          <w:b/>
        </w:rPr>
        <w:tab/>
      </w:r>
      <w:r>
        <w:rPr>
          <w:rFonts w:ascii="Arial Narrow" w:hAnsi="Arial Narrow"/>
          <w:b/>
          <w:u w:val="single"/>
        </w:rPr>
        <w:t>Milestone Cumulative GVA Impact Ratios for 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040A34" w:rsidTr="00040A34">
        <w:tc>
          <w:tcPr>
            <w:tcW w:w="1704" w:type="dxa"/>
            <w:vMerge w:val="restart"/>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Sector</w:t>
            </w:r>
          </w:p>
        </w:tc>
        <w:tc>
          <w:tcPr>
            <w:tcW w:w="6818" w:type="dxa"/>
            <w:gridSpan w:val="4"/>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Cumulative Net GVA Impact Ratio at Milestone Years</w:t>
            </w:r>
          </w:p>
        </w:tc>
      </w:tr>
      <w:tr w:rsidR="00040A34" w:rsidTr="00040A34">
        <w:tc>
          <w:tcPr>
            <w:tcW w:w="0" w:type="auto"/>
            <w:vMerge/>
            <w:tcBorders>
              <w:top w:val="single" w:sz="4" w:space="0" w:color="auto"/>
              <w:left w:val="single" w:sz="4" w:space="0" w:color="auto"/>
              <w:bottom w:val="single" w:sz="4" w:space="0" w:color="auto"/>
              <w:right w:val="single" w:sz="4" w:space="0" w:color="auto"/>
            </w:tcBorders>
            <w:vAlign w:val="center"/>
            <w:hideMark/>
          </w:tcPr>
          <w:p w:rsidR="00040A34" w:rsidRDefault="00040A34">
            <w:pPr>
              <w:spacing w:after="0" w:line="240" w:lineRule="auto"/>
              <w:rPr>
                <w:rFonts w:ascii="Arial Narrow" w:hAnsi="Arial Narrow"/>
                <w:b/>
              </w:rPr>
            </w:pP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3</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Life Sciences</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Tourism</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Enabling Technology</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Infrastructure</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8</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Food and Drink</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8</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Other Growth Industries</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11</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Energy</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12</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Digital Markets</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6</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12</w:t>
            </w:r>
          </w:p>
        </w:tc>
      </w:tr>
      <w:tr w:rsidR="00040A34" w:rsidTr="00040A34">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b/>
              </w:rPr>
              <w:t>OVERALL SECTOR RATIOS</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70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70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r>
    </w:tbl>
    <w:p w:rsidR="00040A34" w:rsidRDefault="00040A34" w:rsidP="00040A34">
      <w:pPr>
        <w:spacing w:after="0"/>
        <w:rPr>
          <w:rFonts w:ascii="Arial Narrow" w:hAnsi="Arial Narrow"/>
          <w:b/>
          <w:sz w:val="16"/>
          <w:szCs w:val="16"/>
        </w:rPr>
      </w:pPr>
      <w:r>
        <w:rPr>
          <w:rFonts w:ascii="Arial Narrow" w:hAnsi="Arial Narrow"/>
          <w:b/>
          <w:sz w:val="16"/>
          <w:szCs w:val="16"/>
        </w:rPr>
        <w:t>Note:-</w:t>
      </w:r>
    </w:p>
    <w:p w:rsidR="00040A34" w:rsidRDefault="00040A34" w:rsidP="00040A34">
      <w:pPr>
        <w:spacing w:after="0"/>
        <w:rPr>
          <w:rFonts w:ascii="Arial Narrow" w:hAnsi="Arial Narrow"/>
          <w:sz w:val="16"/>
          <w:szCs w:val="16"/>
        </w:rPr>
      </w:pPr>
      <w:r>
        <w:rPr>
          <w:rFonts w:ascii="Arial Narrow" w:hAnsi="Arial Narrow"/>
          <w:b/>
          <w:sz w:val="16"/>
          <w:szCs w:val="16"/>
        </w:rPr>
        <w:t>1.</w:t>
      </w:r>
      <w:r>
        <w:rPr>
          <w:rFonts w:ascii="Arial Narrow" w:hAnsi="Arial Narrow"/>
          <w:b/>
          <w:sz w:val="16"/>
          <w:szCs w:val="16"/>
        </w:rPr>
        <w:tab/>
      </w:r>
      <w:r>
        <w:rPr>
          <w:rFonts w:ascii="Arial Narrow" w:hAnsi="Arial Narrow"/>
          <w:sz w:val="16"/>
          <w:szCs w:val="16"/>
        </w:rPr>
        <w:t>All figures are rounded.</w:t>
      </w:r>
    </w:p>
    <w:p w:rsidR="00040A34" w:rsidRDefault="00040A34" w:rsidP="00040A34">
      <w:pPr>
        <w:rPr>
          <w:rFonts w:ascii="Arial Narrow" w:hAnsi="Arial Narrow"/>
          <w:b/>
          <w:u w:val="single"/>
        </w:rPr>
      </w:pPr>
    </w:p>
    <w:p w:rsidR="00040A34" w:rsidRDefault="00040A34" w:rsidP="00040A34">
      <w:pPr>
        <w:rPr>
          <w:rFonts w:ascii="Arial Narrow" w:hAnsi="Arial Narrow"/>
          <w:b/>
          <w:u w:val="single"/>
        </w:rPr>
      </w:pPr>
      <w:r>
        <w:rPr>
          <w:rFonts w:ascii="Arial Narrow" w:hAnsi="Arial Narrow"/>
          <w:b/>
        </w:rPr>
        <w:br w:type="page"/>
      </w:r>
      <w:r>
        <w:rPr>
          <w:rFonts w:ascii="Arial Narrow" w:hAnsi="Arial Narrow"/>
          <w:b/>
        </w:rPr>
        <w:lastRenderedPageBreak/>
        <w:t>TABLE A.2</w:t>
      </w:r>
      <w:r>
        <w:rPr>
          <w:rFonts w:ascii="Arial Narrow" w:hAnsi="Arial Narrow"/>
          <w:b/>
        </w:rPr>
        <w:tab/>
      </w:r>
      <w:r>
        <w:rPr>
          <w:rFonts w:ascii="Arial Narrow" w:hAnsi="Arial Narrow"/>
          <w:b/>
        </w:rPr>
        <w:tab/>
      </w:r>
      <w:r>
        <w:rPr>
          <w:rFonts w:ascii="Arial Narrow" w:hAnsi="Arial Narrow"/>
          <w:b/>
          <w:u w:val="single"/>
        </w:rPr>
        <w:t>Milestone Cumulative GVA Impact Ratios for Themes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659"/>
        <w:gridCol w:w="1664"/>
        <w:gridCol w:w="1665"/>
        <w:gridCol w:w="1665"/>
      </w:tblGrid>
      <w:tr w:rsidR="00040A34" w:rsidTr="00040A34">
        <w:tc>
          <w:tcPr>
            <w:tcW w:w="1941" w:type="dxa"/>
            <w:vMerge w:val="restart"/>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Theme</w:t>
            </w:r>
          </w:p>
        </w:tc>
        <w:tc>
          <w:tcPr>
            <w:tcW w:w="6653" w:type="dxa"/>
            <w:gridSpan w:val="4"/>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Cumulative Net GVA Impact ratio at Milestone Years</w:t>
            </w:r>
          </w:p>
        </w:tc>
      </w:tr>
      <w:tr w:rsidR="00040A34" w:rsidTr="00040A34">
        <w:tc>
          <w:tcPr>
            <w:tcW w:w="0" w:type="auto"/>
            <w:vMerge/>
            <w:tcBorders>
              <w:top w:val="single" w:sz="4" w:space="0" w:color="auto"/>
              <w:left w:val="single" w:sz="4" w:space="0" w:color="auto"/>
              <w:bottom w:val="single" w:sz="4" w:space="0" w:color="auto"/>
              <w:right w:val="single" w:sz="4" w:space="0" w:color="auto"/>
            </w:tcBorders>
            <w:vAlign w:val="center"/>
            <w:hideMark/>
          </w:tcPr>
          <w:p w:rsidR="00040A34" w:rsidRDefault="00040A34">
            <w:pPr>
              <w:spacing w:after="0" w:line="240" w:lineRule="auto"/>
              <w:rPr>
                <w:rFonts w:ascii="Arial Narrow" w:hAnsi="Arial Narrow"/>
                <w:b/>
              </w:rPr>
            </w:pP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3</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Commercialisation</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7</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Innovation</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7</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smartTag w:uri="urn:schemas-microsoft-com:office:smarttags" w:element="place">
              <w:smartTag w:uri="urn:schemas-microsoft-com:office:smarttags" w:element="City">
                <w:r>
                  <w:rPr>
                    <w:rFonts w:ascii="Arial Narrow" w:hAnsi="Arial Narrow"/>
                  </w:rPr>
                  <w:t>Enterprise</w:t>
                </w:r>
              </w:smartTag>
            </w:smartTag>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8</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Research and Development</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Account Management</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12</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14</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Regional Selective Assistance</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12</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14</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Specialist Advisory Services</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9</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15</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Internationalisation</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8</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12</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16</w:t>
            </w:r>
          </w:p>
        </w:tc>
      </w:tr>
      <w:tr w:rsidR="00040A34" w:rsidTr="00040A34">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Inward Investment</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11</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18</w:t>
            </w:r>
          </w:p>
        </w:tc>
      </w:tr>
      <w:tr w:rsidR="00040A34" w:rsidTr="00040A34">
        <w:trPr>
          <w:trHeight w:val="430"/>
        </w:trPr>
        <w:tc>
          <w:tcPr>
            <w:tcW w:w="1941"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 xml:space="preserve">OVERALL THEME RATIOS </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w:t>
            </w:r>
          </w:p>
        </w:tc>
        <w:tc>
          <w:tcPr>
            <w:tcW w:w="1664"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7</w:t>
            </w:r>
          </w:p>
        </w:tc>
        <w:tc>
          <w:tcPr>
            <w:tcW w:w="1665"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bl>
    <w:p w:rsidR="00040A34" w:rsidRDefault="00040A34" w:rsidP="00040A34">
      <w:pPr>
        <w:spacing w:after="0"/>
        <w:rPr>
          <w:rFonts w:ascii="Arial Narrow" w:hAnsi="Arial Narrow"/>
          <w:b/>
          <w:sz w:val="16"/>
          <w:szCs w:val="16"/>
        </w:rPr>
      </w:pPr>
      <w:r>
        <w:rPr>
          <w:rFonts w:ascii="Arial Narrow" w:hAnsi="Arial Narrow"/>
          <w:b/>
          <w:sz w:val="16"/>
          <w:szCs w:val="16"/>
        </w:rPr>
        <w:t>Note:-</w:t>
      </w:r>
    </w:p>
    <w:p w:rsidR="00040A34" w:rsidRDefault="00040A34" w:rsidP="00040A34">
      <w:pPr>
        <w:spacing w:after="0"/>
        <w:rPr>
          <w:rFonts w:ascii="Arial Narrow" w:hAnsi="Arial Narrow"/>
          <w:sz w:val="16"/>
          <w:szCs w:val="16"/>
        </w:rPr>
      </w:pPr>
      <w:r>
        <w:rPr>
          <w:rFonts w:ascii="Arial Narrow" w:hAnsi="Arial Narrow"/>
          <w:b/>
          <w:sz w:val="16"/>
          <w:szCs w:val="16"/>
        </w:rPr>
        <w:t>1.</w:t>
      </w:r>
      <w:r>
        <w:rPr>
          <w:rFonts w:ascii="Arial Narrow" w:hAnsi="Arial Narrow"/>
          <w:b/>
          <w:sz w:val="16"/>
          <w:szCs w:val="16"/>
        </w:rPr>
        <w:tab/>
      </w:r>
      <w:r>
        <w:rPr>
          <w:rFonts w:ascii="Arial Narrow" w:hAnsi="Arial Narrow"/>
          <w:sz w:val="16"/>
          <w:szCs w:val="16"/>
        </w:rPr>
        <w:t>All figures are rounded.</w:t>
      </w:r>
    </w:p>
    <w:p w:rsidR="00040A34" w:rsidRDefault="00040A34" w:rsidP="00040A34">
      <w:pPr>
        <w:rPr>
          <w:rFonts w:ascii="Arial Narrow" w:hAnsi="Arial Narrow"/>
          <w:b/>
        </w:rPr>
      </w:pPr>
    </w:p>
    <w:p w:rsidR="00040A34" w:rsidRDefault="00040A34" w:rsidP="00040A34">
      <w:pPr>
        <w:rPr>
          <w:rFonts w:ascii="Arial Narrow" w:hAnsi="Arial Narrow"/>
          <w:b/>
        </w:rPr>
      </w:pPr>
    </w:p>
    <w:p w:rsidR="00040A34" w:rsidRDefault="00040A34" w:rsidP="00040A34">
      <w:pPr>
        <w:rPr>
          <w:rFonts w:ascii="Arial Narrow" w:hAnsi="Arial Narrow"/>
          <w:b/>
          <w:u w:val="single"/>
        </w:rPr>
      </w:pPr>
      <w:r>
        <w:rPr>
          <w:rFonts w:ascii="Arial Narrow" w:hAnsi="Arial Narrow"/>
          <w:b/>
        </w:rPr>
        <w:t>TABLE A.3</w:t>
      </w:r>
      <w:r>
        <w:rPr>
          <w:rFonts w:ascii="Arial Narrow" w:hAnsi="Arial Narrow"/>
          <w:b/>
        </w:rPr>
        <w:tab/>
      </w:r>
      <w:r w:rsidR="00B274E7">
        <w:rPr>
          <w:rFonts w:ascii="Arial Narrow" w:hAnsi="Arial Narrow"/>
          <w:b/>
        </w:rPr>
        <w:tab/>
      </w:r>
      <w:r>
        <w:rPr>
          <w:rFonts w:ascii="Arial Narrow" w:hAnsi="Arial Narrow"/>
          <w:b/>
          <w:u w:val="single"/>
        </w:rPr>
        <w:t xml:space="preserve">Milestone Cumulative GVA Impact Ratios – Cross Sectoral and Thematic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1659"/>
        <w:gridCol w:w="1620"/>
        <w:gridCol w:w="1620"/>
        <w:gridCol w:w="1800"/>
      </w:tblGrid>
      <w:tr w:rsidR="00040A34" w:rsidTr="00040A34">
        <w:tc>
          <w:tcPr>
            <w:tcW w:w="1869" w:type="dxa"/>
            <w:vMerge w:val="restart"/>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Intervention</w:t>
            </w:r>
          </w:p>
        </w:tc>
        <w:tc>
          <w:tcPr>
            <w:tcW w:w="6699" w:type="dxa"/>
            <w:gridSpan w:val="4"/>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Cumulative Net GVA Impact ratio at Milestone Years</w:t>
            </w:r>
          </w:p>
        </w:tc>
      </w:tr>
      <w:tr w:rsidR="00040A34" w:rsidTr="00040A34">
        <w:tc>
          <w:tcPr>
            <w:tcW w:w="0" w:type="auto"/>
            <w:vMerge/>
            <w:tcBorders>
              <w:top w:val="single" w:sz="4" w:space="0" w:color="auto"/>
              <w:left w:val="single" w:sz="4" w:space="0" w:color="auto"/>
              <w:bottom w:val="single" w:sz="4" w:space="0" w:color="auto"/>
              <w:right w:val="single" w:sz="4" w:space="0" w:color="auto"/>
            </w:tcBorders>
            <w:vAlign w:val="center"/>
            <w:hideMark/>
          </w:tcPr>
          <w:p w:rsidR="00040A34" w:rsidRDefault="00040A34">
            <w:pPr>
              <w:spacing w:after="0" w:line="240" w:lineRule="auto"/>
              <w:rPr>
                <w:rFonts w:ascii="Arial Narrow" w:hAnsi="Arial Narrow"/>
                <w:b/>
              </w:rPr>
            </w:pP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3</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180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r w:rsidR="00040A34" w:rsidTr="00040A34">
        <w:tc>
          <w:tcPr>
            <w:tcW w:w="1869"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Infrastructure</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80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8</w:t>
            </w:r>
          </w:p>
        </w:tc>
      </w:tr>
      <w:tr w:rsidR="00040A34" w:rsidTr="00040A34">
        <w:tc>
          <w:tcPr>
            <w:tcW w:w="1869"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Scottish Loan Fund</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80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9</w:t>
            </w:r>
          </w:p>
        </w:tc>
      </w:tr>
      <w:tr w:rsidR="00040A34" w:rsidTr="00040A34">
        <w:tc>
          <w:tcPr>
            <w:tcW w:w="1869"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Equity</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0</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c>
          <w:tcPr>
            <w:tcW w:w="180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9</w:t>
            </w:r>
          </w:p>
        </w:tc>
      </w:tr>
      <w:tr w:rsidR="00040A34" w:rsidTr="00040A34">
        <w:tc>
          <w:tcPr>
            <w:tcW w:w="1869"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 xml:space="preserve">OVERALL   RATIOS </w:t>
            </w:r>
          </w:p>
        </w:tc>
        <w:tc>
          <w:tcPr>
            <w:tcW w:w="1659"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w:t>
            </w:r>
          </w:p>
        </w:tc>
        <w:tc>
          <w:tcPr>
            <w:tcW w:w="162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2</w:t>
            </w:r>
          </w:p>
        </w:tc>
        <w:tc>
          <w:tcPr>
            <w:tcW w:w="180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7</w:t>
            </w:r>
          </w:p>
        </w:tc>
      </w:tr>
    </w:tbl>
    <w:p w:rsidR="00040A34" w:rsidRDefault="00040A34" w:rsidP="00040A34">
      <w:pPr>
        <w:rPr>
          <w:rFonts w:ascii="Arial Narrow" w:hAnsi="Arial Narrow"/>
          <w:b/>
        </w:rPr>
      </w:pPr>
    </w:p>
    <w:p w:rsidR="00040A34" w:rsidRDefault="00040A34" w:rsidP="00040A34">
      <w:pPr>
        <w:rPr>
          <w:rFonts w:ascii="Arial Narrow" w:hAnsi="Arial Narrow"/>
          <w:b/>
          <w:u w:val="single"/>
        </w:rPr>
      </w:pPr>
      <w:r>
        <w:rPr>
          <w:rFonts w:ascii="Arial Narrow" w:hAnsi="Arial Narrow"/>
          <w:b/>
        </w:rPr>
        <w:t>TABLE A.4</w:t>
      </w:r>
      <w:r>
        <w:rPr>
          <w:rFonts w:ascii="Arial Narrow" w:hAnsi="Arial Narrow"/>
          <w:b/>
        </w:rPr>
        <w:tab/>
      </w:r>
      <w:r>
        <w:rPr>
          <w:rFonts w:ascii="Arial Narrow" w:hAnsi="Arial Narrow"/>
          <w:b/>
        </w:rPr>
        <w:tab/>
      </w:r>
      <w:r>
        <w:rPr>
          <w:rFonts w:ascii="Arial Narrow" w:hAnsi="Arial Narrow"/>
          <w:b/>
          <w:u w:val="single"/>
        </w:rPr>
        <w:t>Cumulative Cost per Net Job for 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040A34" w:rsidTr="00040A34">
        <w:tc>
          <w:tcPr>
            <w:tcW w:w="2130" w:type="dxa"/>
            <w:vMerge w:val="restart"/>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Sector</w:t>
            </w:r>
          </w:p>
        </w:tc>
        <w:tc>
          <w:tcPr>
            <w:tcW w:w="6392" w:type="dxa"/>
            <w:gridSpan w:val="3"/>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Cumulative Cost per Net Job at Milestone Years (£000)</w:t>
            </w:r>
          </w:p>
        </w:tc>
      </w:tr>
      <w:tr w:rsidR="00040A34" w:rsidTr="00040A34">
        <w:tc>
          <w:tcPr>
            <w:tcW w:w="0" w:type="auto"/>
            <w:vMerge/>
            <w:tcBorders>
              <w:top w:val="single" w:sz="4" w:space="0" w:color="auto"/>
              <w:left w:val="single" w:sz="4" w:space="0" w:color="auto"/>
              <w:bottom w:val="single" w:sz="4" w:space="0" w:color="auto"/>
              <w:right w:val="single" w:sz="4" w:space="0" w:color="auto"/>
            </w:tcBorders>
            <w:vAlign w:val="center"/>
            <w:hideMark/>
          </w:tcPr>
          <w:p w:rsidR="00040A34" w:rsidRDefault="00040A34">
            <w:pPr>
              <w:spacing w:after="0" w:line="240" w:lineRule="auto"/>
              <w:rPr>
                <w:rFonts w:ascii="Arial Narrow" w:hAnsi="Arial Narrow"/>
                <w:b/>
              </w:rPr>
            </w:pP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3</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Creative industries</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£27</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£9</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Energy</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£40</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£14</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Other Growth Industries</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£29</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£12</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Food and Drink</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£43</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£18</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£7</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Tourism</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£26</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£16</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£11</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Enabling Technologies</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£145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£46</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£11</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Life Sciences</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£71</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£47</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£17</w:t>
            </w:r>
          </w:p>
        </w:tc>
      </w:tr>
    </w:tbl>
    <w:p w:rsidR="00040A34" w:rsidRDefault="00040A34" w:rsidP="00040A34">
      <w:pPr>
        <w:rPr>
          <w:rFonts w:ascii="Arial Narrow" w:hAnsi="Arial Narrow"/>
          <w:b/>
          <w:u w:val="single"/>
        </w:rPr>
      </w:pPr>
    </w:p>
    <w:p w:rsidR="00040A34" w:rsidRDefault="00040A34" w:rsidP="00040A34">
      <w:pPr>
        <w:rPr>
          <w:rFonts w:ascii="Arial Narrow" w:hAnsi="Arial Narrow"/>
          <w:b/>
          <w:u w:val="single"/>
        </w:rPr>
      </w:pPr>
      <w:r>
        <w:rPr>
          <w:rFonts w:ascii="Arial Narrow" w:hAnsi="Arial Narrow"/>
          <w:b/>
        </w:rPr>
        <w:lastRenderedPageBreak/>
        <w:t>TABLE A.5</w:t>
      </w:r>
      <w:r>
        <w:rPr>
          <w:rFonts w:ascii="Arial Narrow" w:hAnsi="Arial Narrow"/>
          <w:b/>
        </w:rPr>
        <w:tab/>
      </w:r>
      <w:r>
        <w:rPr>
          <w:rFonts w:ascii="Arial Narrow" w:hAnsi="Arial Narrow"/>
          <w:b/>
        </w:rPr>
        <w:tab/>
      </w:r>
      <w:r>
        <w:rPr>
          <w:rFonts w:ascii="Arial Narrow" w:hAnsi="Arial Narrow"/>
          <w:b/>
          <w:u w:val="single"/>
        </w:rPr>
        <w:t>Cumulative Cost per Net Job for Themes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040A34" w:rsidTr="00040A34">
        <w:tc>
          <w:tcPr>
            <w:tcW w:w="2130" w:type="dxa"/>
            <w:vMerge w:val="restart"/>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Theme</w:t>
            </w:r>
          </w:p>
        </w:tc>
        <w:tc>
          <w:tcPr>
            <w:tcW w:w="6392" w:type="dxa"/>
            <w:gridSpan w:val="3"/>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Cumulative Cost per Net Job at Milestone Years (£000)</w:t>
            </w:r>
          </w:p>
        </w:tc>
      </w:tr>
      <w:tr w:rsidR="00040A34" w:rsidTr="00040A34">
        <w:tc>
          <w:tcPr>
            <w:tcW w:w="0" w:type="auto"/>
            <w:vMerge/>
            <w:tcBorders>
              <w:top w:val="single" w:sz="4" w:space="0" w:color="auto"/>
              <w:left w:val="single" w:sz="4" w:space="0" w:color="auto"/>
              <w:bottom w:val="single" w:sz="4" w:space="0" w:color="auto"/>
              <w:right w:val="single" w:sz="4" w:space="0" w:color="auto"/>
            </w:tcBorders>
            <w:vAlign w:val="center"/>
            <w:hideMark/>
          </w:tcPr>
          <w:p w:rsidR="00040A34" w:rsidRDefault="00040A34">
            <w:pPr>
              <w:spacing w:after="0" w:line="240" w:lineRule="auto"/>
              <w:rPr>
                <w:rFonts w:ascii="Arial Narrow" w:hAnsi="Arial Narrow"/>
                <w:b/>
              </w:rPr>
            </w:pP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3</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Internationalisation</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£6</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Inward Investment</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Regional Selective Assistance</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Account Management</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£6</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Specialist Advisory Services</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£31</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£5</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Research and Development</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£13,505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£196</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£6</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Innovation</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£17</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£7</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smartTag w:uri="urn:schemas-microsoft-com:office:smarttags" w:element="place">
              <w:smartTag w:uri="urn:schemas-microsoft-com:office:smarttags" w:element="City">
                <w:r>
                  <w:rPr>
                    <w:rFonts w:ascii="Arial Narrow" w:hAnsi="Arial Narrow"/>
                  </w:rPr>
                  <w:t>Enterprise</w:t>
                </w:r>
              </w:smartTag>
            </w:smartTag>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£18</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£7</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Commercialisation</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£18</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£8</w:t>
            </w:r>
          </w:p>
        </w:tc>
      </w:tr>
    </w:tbl>
    <w:p w:rsidR="00040A34" w:rsidRDefault="00040A34" w:rsidP="00040A34">
      <w:pPr>
        <w:spacing w:after="0"/>
        <w:rPr>
          <w:rFonts w:ascii="Arial Narrow" w:hAnsi="Arial Narrow"/>
          <w:b/>
          <w:u w:val="single"/>
        </w:rPr>
      </w:pPr>
    </w:p>
    <w:p w:rsidR="00040A34" w:rsidRDefault="00040A34" w:rsidP="00040A34">
      <w:pPr>
        <w:rPr>
          <w:rFonts w:ascii="Arial Narrow" w:hAnsi="Arial Narrow"/>
          <w:b/>
          <w:u w:val="single"/>
        </w:rPr>
      </w:pPr>
    </w:p>
    <w:p w:rsidR="00040A34" w:rsidRDefault="00040A34" w:rsidP="00040A34">
      <w:pPr>
        <w:rPr>
          <w:rFonts w:ascii="Arial Narrow" w:hAnsi="Arial Narrow"/>
          <w:b/>
          <w:u w:val="single"/>
        </w:rPr>
      </w:pPr>
      <w:r>
        <w:rPr>
          <w:rFonts w:ascii="Arial Narrow" w:hAnsi="Arial Narrow"/>
          <w:b/>
        </w:rPr>
        <w:t>TABLE A.6</w:t>
      </w:r>
      <w:r>
        <w:rPr>
          <w:rFonts w:ascii="Arial Narrow" w:hAnsi="Arial Narrow"/>
          <w:b/>
        </w:rPr>
        <w:tab/>
      </w:r>
      <w:r w:rsidR="00A917AB">
        <w:rPr>
          <w:rFonts w:ascii="Arial Narrow" w:hAnsi="Arial Narrow"/>
          <w:b/>
        </w:rPr>
        <w:tab/>
      </w:r>
      <w:r>
        <w:rPr>
          <w:rFonts w:ascii="Arial Narrow" w:hAnsi="Arial Narrow"/>
          <w:b/>
          <w:u w:val="single"/>
        </w:rPr>
        <w:t>Cumulative Cost per Net Job for Cross Sectoral and Thematic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040A34" w:rsidTr="00040A34">
        <w:tc>
          <w:tcPr>
            <w:tcW w:w="2130" w:type="dxa"/>
            <w:vMerge w:val="restart"/>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b/>
              </w:rPr>
            </w:pPr>
            <w:r>
              <w:rPr>
                <w:rFonts w:ascii="Arial Narrow" w:hAnsi="Arial Narrow"/>
                <w:b/>
              </w:rPr>
              <w:t>Intervention</w:t>
            </w:r>
          </w:p>
        </w:tc>
        <w:tc>
          <w:tcPr>
            <w:tcW w:w="6392" w:type="dxa"/>
            <w:gridSpan w:val="3"/>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Cumulative Cost per Net Job at Milestone Years (£000)</w:t>
            </w:r>
          </w:p>
        </w:tc>
      </w:tr>
      <w:tr w:rsidR="00040A34" w:rsidTr="00040A34">
        <w:tc>
          <w:tcPr>
            <w:tcW w:w="0" w:type="auto"/>
            <w:vMerge/>
            <w:tcBorders>
              <w:top w:val="single" w:sz="4" w:space="0" w:color="auto"/>
              <w:left w:val="single" w:sz="4" w:space="0" w:color="auto"/>
              <w:bottom w:val="single" w:sz="4" w:space="0" w:color="auto"/>
              <w:right w:val="single" w:sz="4" w:space="0" w:color="auto"/>
            </w:tcBorders>
            <w:vAlign w:val="center"/>
            <w:hideMark/>
          </w:tcPr>
          <w:p w:rsidR="00040A34" w:rsidRDefault="00040A34">
            <w:pPr>
              <w:spacing w:after="0" w:line="240" w:lineRule="auto"/>
              <w:rPr>
                <w:rFonts w:ascii="Arial Narrow" w:hAnsi="Arial Narrow"/>
                <w:b/>
              </w:rPr>
            </w:pP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3</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b/>
              </w:rPr>
            </w:pPr>
            <w:r>
              <w:rPr>
                <w:rFonts w:ascii="Arial Narrow" w:hAnsi="Arial Narrow"/>
                <w:b/>
              </w:rPr>
              <w:t>10</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Scottish Loan Fund and Equity Investment</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£69</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£29</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£10</w:t>
            </w:r>
          </w:p>
        </w:tc>
      </w:tr>
      <w:tr w:rsidR="00040A34" w:rsidTr="00040A34">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rPr>
                <w:rFonts w:ascii="Arial Narrow" w:hAnsi="Arial Narrow"/>
              </w:rPr>
            </w:pPr>
            <w:r>
              <w:rPr>
                <w:rFonts w:ascii="Arial Narrow" w:hAnsi="Arial Narrow"/>
              </w:rPr>
              <w:t>Business Infrastructure</w:t>
            </w:r>
          </w:p>
        </w:tc>
        <w:tc>
          <w:tcPr>
            <w:tcW w:w="2130"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£95</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£41</w:t>
            </w:r>
          </w:p>
        </w:tc>
        <w:tc>
          <w:tcPr>
            <w:tcW w:w="2131" w:type="dxa"/>
            <w:tcBorders>
              <w:top w:val="single" w:sz="4" w:space="0" w:color="auto"/>
              <w:left w:val="single" w:sz="4" w:space="0" w:color="auto"/>
              <w:bottom w:val="single" w:sz="4" w:space="0" w:color="auto"/>
              <w:right w:val="single" w:sz="4" w:space="0" w:color="auto"/>
            </w:tcBorders>
            <w:hideMark/>
          </w:tcPr>
          <w:p w:rsidR="00040A34" w:rsidRDefault="00040A34">
            <w:pPr>
              <w:spacing w:after="0"/>
              <w:jc w:val="center"/>
              <w:rPr>
                <w:rFonts w:ascii="Arial Narrow" w:hAnsi="Arial Narrow"/>
              </w:rPr>
            </w:pPr>
            <w:r>
              <w:rPr>
                <w:rFonts w:ascii="Arial Narrow" w:hAnsi="Arial Narrow"/>
              </w:rPr>
              <w:t>£13</w:t>
            </w:r>
          </w:p>
        </w:tc>
      </w:tr>
    </w:tbl>
    <w:p w:rsidR="00040A34" w:rsidRDefault="00040A34" w:rsidP="00040A34">
      <w:pPr>
        <w:rPr>
          <w:rFonts w:ascii="Arial Narrow" w:hAnsi="Arial Narrow"/>
          <w:b/>
          <w:u w:val="single"/>
        </w:rPr>
      </w:pPr>
    </w:p>
    <w:p w:rsidR="00040A34" w:rsidRDefault="00040A34" w:rsidP="00040A34">
      <w:pPr>
        <w:jc w:val="both"/>
        <w:rPr>
          <w:rFonts w:ascii="Arial Narrow" w:hAnsi="Arial Narrow"/>
          <w:sz w:val="24"/>
          <w:szCs w:val="24"/>
        </w:rPr>
      </w:pPr>
    </w:p>
    <w:p w:rsidR="002B4B6D" w:rsidRDefault="002B4B6D"/>
    <w:sectPr w:rsidR="002B4B6D" w:rsidSect="002B4B6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E7" w:rsidRDefault="00B274E7" w:rsidP="00040A34">
      <w:pPr>
        <w:spacing w:after="0" w:line="240" w:lineRule="auto"/>
      </w:pPr>
      <w:r>
        <w:separator/>
      </w:r>
    </w:p>
  </w:endnote>
  <w:endnote w:type="continuationSeparator" w:id="0">
    <w:p w:rsidR="00B274E7" w:rsidRDefault="00B274E7" w:rsidP="0004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7" w:rsidRPr="00E42AAE" w:rsidRDefault="00B274E7">
    <w:pPr>
      <w:pStyle w:val="Footer"/>
      <w:pBdr>
        <w:top w:val="thinThickSmallGap" w:sz="24" w:space="1" w:color="622423" w:themeColor="accent2" w:themeShade="7F"/>
      </w:pBdr>
      <w:rPr>
        <w:rFonts w:asciiTheme="majorHAnsi" w:hAnsiTheme="majorHAnsi"/>
      </w:rPr>
    </w:pPr>
    <w:r w:rsidRPr="00E42AAE">
      <w:rPr>
        <w:rFonts w:ascii="Arial Narrow" w:hAnsi="Arial Narrow"/>
        <w:i/>
        <w:sz w:val="16"/>
        <w:szCs w:val="16"/>
      </w:rPr>
      <w:t>January 2014</w:t>
    </w:r>
    <w:r w:rsidRPr="00E42AAE">
      <w:rPr>
        <w:rFonts w:ascii="Arial Narrow" w:hAnsi="Arial Narrow"/>
        <w:i/>
        <w:sz w:val="16"/>
        <w:szCs w:val="16"/>
      </w:rPr>
      <w:ptab w:relativeTo="margin" w:alignment="right" w:leader="none"/>
    </w:r>
    <w:r w:rsidR="00643FA6" w:rsidRPr="00E42AAE">
      <w:fldChar w:fldCharType="begin"/>
    </w:r>
    <w:r w:rsidR="00A82CE4" w:rsidRPr="00E42AAE">
      <w:instrText xml:space="preserve"> PAGE   \* MERGEFORMAT </w:instrText>
    </w:r>
    <w:r w:rsidR="00643FA6" w:rsidRPr="00E42AAE">
      <w:fldChar w:fldCharType="separate"/>
    </w:r>
    <w:r w:rsidR="001C4611" w:rsidRPr="001C4611">
      <w:rPr>
        <w:rFonts w:asciiTheme="majorHAnsi" w:hAnsiTheme="majorHAnsi"/>
        <w:noProof/>
      </w:rPr>
      <w:t>1</w:t>
    </w:r>
    <w:r w:rsidR="00643FA6" w:rsidRPr="00E42AAE">
      <w:fldChar w:fldCharType="end"/>
    </w:r>
  </w:p>
  <w:p w:rsidR="00B274E7" w:rsidRDefault="00B27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E7" w:rsidRDefault="00B274E7" w:rsidP="00040A34">
      <w:pPr>
        <w:spacing w:after="0" w:line="240" w:lineRule="auto"/>
      </w:pPr>
      <w:r>
        <w:separator/>
      </w:r>
    </w:p>
  </w:footnote>
  <w:footnote w:type="continuationSeparator" w:id="0">
    <w:p w:rsidR="00B274E7" w:rsidRDefault="00B274E7" w:rsidP="00040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7" w:rsidRPr="00040A34" w:rsidRDefault="00B274E7">
    <w:pPr>
      <w:pStyle w:val="Header"/>
      <w:rPr>
        <w:rFonts w:ascii="Arial Narrow" w:hAnsi="Arial Narrow"/>
        <w:i/>
        <w:sz w:val="16"/>
        <w:szCs w:val="16"/>
      </w:rPr>
    </w:pPr>
    <w:r w:rsidRPr="00040A34">
      <w:rPr>
        <w:rFonts w:ascii="Arial Narrow" w:hAnsi="Arial Narrow"/>
        <w:i/>
        <w:sz w:val="16"/>
        <w:szCs w:val="16"/>
      </w:rPr>
      <w:t>Scottish Enterprise Economic Impact Guidance</w:t>
    </w:r>
  </w:p>
  <w:p w:rsidR="00B274E7" w:rsidRDefault="00B27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805"/>
    <w:multiLevelType w:val="hybridMultilevel"/>
    <w:tmpl w:val="2466D91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A5751D"/>
    <w:multiLevelType w:val="hybridMultilevel"/>
    <w:tmpl w:val="3D7AEB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D17CB0"/>
    <w:multiLevelType w:val="hybridMultilevel"/>
    <w:tmpl w:val="860046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8FC29C2"/>
    <w:multiLevelType w:val="hybridMultilevel"/>
    <w:tmpl w:val="4E1E6B4C"/>
    <w:lvl w:ilvl="0" w:tplc="08090001">
      <w:start w:val="1"/>
      <w:numFmt w:val="bullet"/>
      <w:lvlText w:val=""/>
      <w:lvlJc w:val="left"/>
      <w:pPr>
        <w:tabs>
          <w:tab w:val="num" w:pos="773"/>
        </w:tabs>
        <w:ind w:left="77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6375BDC"/>
    <w:multiLevelType w:val="hybridMultilevel"/>
    <w:tmpl w:val="7D7C8B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0A34"/>
    <w:rsid w:val="00040A34"/>
    <w:rsid w:val="000B727C"/>
    <w:rsid w:val="001C4611"/>
    <w:rsid w:val="002B4B6D"/>
    <w:rsid w:val="002F5D40"/>
    <w:rsid w:val="00355350"/>
    <w:rsid w:val="00461A2E"/>
    <w:rsid w:val="00643FA6"/>
    <w:rsid w:val="007269E3"/>
    <w:rsid w:val="00744ED6"/>
    <w:rsid w:val="009666D2"/>
    <w:rsid w:val="00A77052"/>
    <w:rsid w:val="00A82CE4"/>
    <w:rsid w:val="00A917AB"/>
    <w:rsid w:val="00B274E7"/>
    <w:rsid w:val="00B748AD"/>
    <w:rsid w:val="00C54746"/>
    <w:rsid w:val="00D04185"/>
    <w:rsid w:val="00E42A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34"/>
    <w:rPr>
      <w:rFonts w:ascii="Calibri" w:eastAsia="Calibri" w:hAnsi="Calibri" w:cs="Times New Roman"/>
    </w:rPr>
  </w:style>
  <w:style w:type="paragraph" w:styleId="Heading1">
    <w:name w:val="heading 1"/>
    <w:basedOn w:val="Normal"/>
    <w:next w:val="Normal"/>
    <w:link w:val="Heading1Char"/>
    <w:qFormat/>
    <w:rsid w:val="00040A34"/>
    <w:pPr>
      <w:spacing w:before="240"/>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A34"/>
    <w:rPr>
      <w:rFonts w:ascii="Calibri" w:eastAsia="Calibri" w:hAnsi="Calibri" w:cs="Times New Roman"/>
      <w:b/>
      <w:sz w:val="40"/>
      <w:szCs w:val="40"/>
    </w:rPr>
  </w:style>
  <w:style w:type="character" w:styleId="Hyperlink">
    <w:name w:val="Hyperlink"/>
    <w:basedOn w:val="DefaultParagraphFont"/>
    <w:semiHidden/>
    <w:unhideWhenUsed/>
    <w:rsid w:val="00040A34"/>
    <w:rPr>
      <w:rFonts w:ascii="Times New Roman" w:hAnsi="Times New Roman" w:cs="Times New Roman" w:hint="default"/>
      <w:color w:val="0000FF"/>
      <w:u w:val="single"/>
    </w:rPr>
  </w:style>
  <w:style w:type="character" w:customStyle="1" w:styleId="ListParagraphChar">
    <w:name w:val="List Paragraph Char"/>
    <w:link w:val="ListParagraph"/>
    <w:locked/>
    <w:rsid w:val="00040A34"/>
    <w:rPr>
      <w:rFonts w:ascii="Calibri" w:hAnsi="Calibri"/>
      <w:lang w:eastAsia="ja-JP"/>
    </w:rPr>
  </w:style>
  <w:style w:type="paragraph" w:styleId="ListParagraph">
    <w:name w:val="List Paragraph"/>
    <w:basedOn w:val="Normal"/>
    <w:link w:val="ListParagraphChar"/>
    <w:qFormat/>
    <w:rsid w:val="00040A34"/>
    <w:pPr>
      <w:ind w:left="720"/>
      <w:contextualSpacing/>
    </w:pPr>
    <w:rPr>
      <w:rFonts w:eastAsiaTheme="minorHAnsi" w:cstheme="minorBidi"/>
      <w:lang w:eastAsia="ja-JP"/>
    </w:rPr>
  </w:style>
  <w:style w:type="paragraph" w:styleId="Header">
    <w:name w:val="header"/>
    <w:basedOn w:val="Normal"/>
    <w:link w:val="HeaderChar"/>
    <w:uiPriority w:val="99"/>
    <w:unhideWhenUsed/>
    <w:rsid w:val="00040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34"/>
    <w:rPr>
      <w:rFonts w:ascii="Calibri" w:eastAsia="Calibri" w:hAnsi="Calibri" w:cs="Times New Roman"/>
    </w:rPr>
  </w:style>
  <w:style w:type="paragraph" w:styleId="Footer">
    <w:name w:val="footer"/>
    <w:basedOn w:val="Normal"/>
    <w:link w:val="FooterChar"/>
    <w:uiPriority w:val="99"/>
    <w:unhideWhenUsed/>
    <w:rsid w:val="00040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A34"/>
    <w:rPr>
      <w:rFonts w:ascii="Calibri" w:eastAsia="Calibri" w:hAnsi="Calibri" w:cs="Times New Roman"/>
    </w:rPr>
  </w:style>
  <w:style w:type="paragraph" w:styleId="BalloonText">
    <w:name w:val="Balloon Text"/>
    <w:basedOn w:val="Normal"/>
    <w:link w:val="BalloonTextChar"/>
    <w:uiPriority w:val="99"/>
    <w:semiHidden/>
    <w:unhideWhenUsed/>
    <w:rsid w:val="0004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1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r.gov.uk/files/file5073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aluationsonline.org.uk/evaluations/Index.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ne.fleming@scoten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s.gov.uk/files/file54063.pdf" TargetMode="External"/><Relationship Id="rId4" Type="http://schemas.openxmlformats.org/officeDocument/2006/relationships/webSettings" Target="webSettings.xml"/><Relationship Id="rId9" Type="http://schemas.openxmlformats.org/officeDocument/2006/relationships/hyperlink" Target="http://www.bis.gov.uk/assets/biscore/economics-and-statistics/docs/09-1302-bis-occasional-paper-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7</cp:revision>
  <dcterms:created xsi:type="dcterms:W3CDTF">2014-01-15T14:54:00Z</dcterms:created>
  <dcterms:modified xsi:type="dcterms:W3CDTF">2014-03-27T11:42:00Z</dcterms:modified>
</cp:coreProperties>
</file>