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E5" w:rsidRPr="00387095" w:rsidRDefault="00E44DE5" w:rsidP="00DB020B">
      <w:pPr>
        <w:jc w:val="center"/>
        <w:rPr>
          <w:rFonts w:ascii="Arial Narrow" w:hAnsi="Arial Narrow"/>
          <w:b/>
          <w:sz w:val="36"/>
          <w:szCs w:val="36"/>
        </w:rPr>
      </w:pPr>
      <w:r w:rsidRPr="00387095">
        <w:rPr>
          <w:rFonts w:ascii="Arial Narrow" w:hAnsi="Arial Narrow"/>
          <w:b/>
          <w:sz w:val="36"/>
          <w:szCs w:val="36"/>
        </w:rPr>
        <w:t>Employment Densities for Property Projects</w:t>
      </w: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44DE5" w:rsidRPr="00387095" w:rsidTr="008F1AE4">
        <w:tc>
          <w:tcPr>
            <w:tcW w:w="9242" w:type="dxa"/>
            <w:shd w:val="clear" w:color="auto" w:fill="8DB3E2"/>
          </w:tcPr>
          <w:p w:rsidR="00DA01A9" w:rsidRPr="00387095" w:rsidRDefault="00E44DE5">
            <w:pPr>
              <w:spacing w:before="120" w:after="120" w:line="240" w:lineRule="auto"/>
              <w:jc w:val="center"/>
              <w:rPr>
                <w:rFonts w:ascii="Arial Narrow" w:hAnsi="Arial Narrow"/>
                <w:b/>
                <w:sz w:val="24"/>
                <w:szCs w:val="24"/>
              </w:rPr>
            </w:pPr>
            <w:r w:rsidRPr="00387095">
              <w:rPr>
                <w:rFonts w:ascii="Arial Narrow" w:hAnsi="Arial Narrow"/>
                <w:b/>
                <w:sz w:val="24"/>
                <w:szCs w:val="24"/>
              </w:rPr>
              <w:t>Employment densities are benchmark</w:t>
            </w:r>
            <w:r w:rsidR="001B3986" w:rsidRPr="00387095">
              <w:rPr>
                <w:rFonts w:ascii="Arial Narrow" w:hAnsi="Arial Narrow"/>
                <w:b/>
                <w:sz w:val="24"/>
                <w:szCs w:val="24"/>
              </w:rPr>
              <w:t>ing</w:t>
            </w:r>
            <w:r w:rsidRPr="00387095">
              <w:rPr>
                <w:rFonts w:ascii="Arial Narrow" w:hAnsi="Arial Narrow"/>
                <w:b/>
                <w:sz w:val="24"/>
                <w:szCs w:val="24"/>
              </w:rPr>
              <w:t xml:space="preserve"> data on the average number of employees </w:t>
            </w:r>
            <w:r w:rsidR="001B3986" w:rsidRPr="00387095">
              <w:rPr>
                <w:rFonts w:ascii="Arial Narrow" w:hAnsi="Arial Narrow"/>
                <w:b/>
                <w:sz w:val="24"/>
                <w:szCs w:val="24"/>
              </w:rPr>
              <w:t xml:space="preserve">who </w:t>
            </w:r>
            <w:r w:rsidRPr="00387095">
              <w:rPr>
                <w:rFonts w:ascii="Arial Narrow" w:hAnsi="Arial Narrow"/>
                <w:b/>
                <w:sz w:val="24"/>
                <w:szCs w:val="24"/>
              </w:rPr>
              <w:t xml:space="preserve">can be accommodated per unit of floorspace provided. </w:t>
            </w:r>
            <w:r w:rsidR="00FA0D42">
              <w:rPr>
                <w:rFonts w:ascii="Arial Narrow" w:hAnsi="Arial Narrow"/>
                <w:b/>
                <w:sz w:val="24"/>
                <w:szCs w:val="24"/>
              </w:rPr>
              <w:t xml:space="preserve"> </w:t>
            </w:r>
            <w:r w:rsidRPr="00387095">
              <w:rPr>
                <w:rFonts w:ascii="Arial Narrow" w:hAnsi="Arial Narrow"/>
                <w:b/>
                <w:sz w:val="24"/>
                <w:szCs w:val="24"/>
              </w:rPr>
              <w:t>These benchmarks can then be used to estimate the gross employment and GVA impacts of physical developments.</w:t>
            </w:r>
          </w:p>
        </w:tc>
      </w:tr>
    </w:tbl>
    <w:p w:rsidR="00E44DE5" w:rsidRPr="00387095" w:rsidRDefault="00E44DE5" w:rsidP="00BE1C7C">
      <w:pPr>
        <w:spacing w:after="0"/>
        <w:jc w:val="both"/>
        <w:rPr>
          <w:rFonts w:ascii="Arial Narrow" w:hAnsi="Arial Narrow"/>
          <w:b/>
          <w:sz w:val="24"/>
          <w:szCs w:val="24"/>
        </w:rPr>
      </w:pPr>
    </w:p>
    <w:p w:rsidR="00E44DE5" w:rsidRPr="00387095" w:rsidRDefault="00E44DE5" w:rsidP="00BE1C7C">
      <w:pPr>
        <w:jc w:val="both"/>
        <w:rPr>
          <w:rFonts w:ascii="Arial Narrow" w:hAnsi="Arial Narrow"/>
          <w:b/>
          <w:sz w:val="28"/>
          <w:szCs w:val="28"/>
        </w:rPr>
      </w:pPr>
    </w:p>
    <w:p w:rsidR="00E44DE5" w:rsidRPr="00387095" w:rsidRDefault="00E44DE5" w:rsidP="00BE1C7C">
      <w:pPr>
        <w:jc w:val="both"/>
        <w:rPr>
          <w:rFonts w:ascii="Arial Narrow" w:hAnsi="Arial Narrow"/>
          <w:b/>
          <w:sz w:val="28"/>
          <w:szCs w:val="28"/>
        </w:rPr>
      </w:pPr>
      <w:r w:rsidRPr="00387095">
        <w:rPr>
          <w:rFonts w:ascii="Arial Narrow" w:hAnsi="Arial Narrow"/>
          <w:b/>
          <w:sz w:val="28"/>
          <w:szCs w:val="28"/>
        </w:rPr>
        <w:t>Why is it important?</w:t>
      </w:r>
    </w:p>
    <w:p w:rsidR="00E44DE5" w:rsidRPr="00387095" w:rsidRDefault="00E44DE5" w:rsidP="00BE1C7C">
      <w:pPr>
        <w:jc w:val="both"/>
        <w:rPr>
          <w:rFonts w:ascii="Arial Narrow" w:hAnsi="Arial Narrow"/>
          <w:sz w:val="24"/>
          <w:szCs w:val="24"/>
        </w:rPr>
      </w:pPr>
      <w:r w:rsidRPr="00387095">
        <w:rPr>
          <w:rFonts w:ascii="Arial Narrow" w:hAnsi="Arial Narrow"/>
          <w:sz w:val="24"/>
          <w:szCs w:val="24"/>
        </w:rPr>
        <w:t xml:space="preserve">Employment density data can be used to estimate the level of </w:t>
      </w:r>
      <w:r w:rsidRPr="003A2CEF">
        <w:rPr>
          <w:rFonts w:ascii="Arial Narrow" w:hAnsi="Arial Narrow"/>
          <w:sz w:val="24"/>
          <w:szCs w:val="24"/>
        </w:rPr>
        <w:t>gross employment</w:t>
      </w:r>
      <w:r w:rsidRPr="00387095">
        <w:rPr>
          <w:rFonts w:ascii="Arial Narrow" w:hAnsi="Arial Narrow"/>
          <w:sz w:val="24"/>
          <w:szCs w:val="24"/>
        </w:rPr>
        <w:t xml:space="preserve"> that can be accommodated within new or refurbished accommodation. </w:t>
      </w:r>
      <w:r w:rsidR="00FA0D42">
        <w:rPr>
          <w:rFonts w:ascii="Arial Narrow" w:hAnsi="Arial Narrow"/>
          <w:sz w:val="24"/>
          <w:szCs w:val="24"/>
        </w:rPr>
        <w:t xml:space="preserve"> </w:t>
      </w:r>
      <w:r w:rsidRPr="00387095">
        <w:rPr>
          <w:rFonts w:ascii="Arial Narrow" w:hAnsi="Arial Narrow"/>
          <w:sz w:val="24"/>
          <w:szCs w:val="24"/>
        </w:rPr>
        <w:t xml:space="preserve">This information can then be used to derive an estimate of the likely gross GVA impact. </w:t>
      </w:r>
    </w:p>
    <w:p w:rsidR="00E44DE5" w:rsidRPr="00387095" w:rsidRDefault="00E44DE5" w:rsidP="00BE1C7C">
      <w:pPr>
        <w:jc w:val="both"/>
        <w:rPr>
          <w:rFonts w:ascii="Arial Narrow" w:hAnsi="Arial Narrow"/>
          <w:b/>
          <w:sz w:val="28"/>
          <w:szCs w:val="28"/>
        </w:rPr>
      </w:pPr>
      <w:r w:rsidRPr="00387095">
        <w:rPr>
          <w:rFonts w:ascii="Arial Narrow" w:hAnsi="Arial Narrow"/>
          <w:b/>
          <w:sz w:val="28"/>
          <w:szCs w:val="28"/>
        </w:rPr>
        <w:t>When do we need to use floorspace densities?</w:t>
      </w:r>
    </w:p>
    <w:p w:rsidR="00E44DE5" w:rsidRPr="00387095" w:rsidRDefault="00E44DE5" w:rsidP="00BE1C7C">
      <w:pPr>
        <w:jc w:val="both"/>
        <w:rPr>
          <w:rFonts w:ascii="Arial Narrow" w:hAnsi="Arial Narrow"/>
          <w:sz w:val="24"/>
          <w:szCs w:val="24"/>
        </w:rPr>
      </w:pPr>
      <w:r w:rsidRPr="00387095">
        <w:rPr>
          <w:rFonts w:ascii="Arial Narrow" w:hAnsi="Arial Narrow"/>
          <w:sz w:val="24"/>
          <w:szCs w:val="24"/>
        </w:rPr>
        <w:t xml:space="preserve">It is always preferable to use actual information on the number of employees that could be accommodated, obtained through consultations with beneficiaries and/or </w:t>
      </w:r>
      <w:r w:rsidR="007A5AD5" w:rsidRPr="00387095">
        <w:rPr>
          <w:rFonts w:ascii="Arial Narrow" w:hAnsi="Arial Narrow"/>
          <w:sz w:val="24"/>
          <w:szCs w:val="24"/>
        </w:rPr>
        <w:t>partners</w:t>
      </w:r>
      <w:r w:rsidRPr="00387095">
        <w:rPr>
          <w:rFonts w:ascii="Arial Narrow" w:hAnsi="Arial Narrow"/>
          <w:sz w:val="24"/>
          <w:szCs w:val="24"/>
        </w:rPr>
        <w:t>.  However, this information may not always be available: for example, for speculative development</w:t>
      </w:r>
      <w:r w:rsidR="002F63C5" w:rsidRPr="00387095">
        <w:rPr>
          <w:rFonts w:ascii="Arial Narrow" w:hAnsi="Arial Narrow"/>
          <w:sz w:val="24"/>
          <w:szCs w:val="24"/>
        </w:rPr>
        <w:t>s</w:t>
      </w:r>
      <w:r w:rsidRPr="00387095">
        <w:rPr>
          <w:rFonts w:ascii="Arial Narrow" w:hAnsi="Arial Narrow"/>
          <w:sz w:val="24"/>
          <w:szCs w:val="24"/>
        </w:rPr>
        <w:t xml:space="preserve"> there may be no detailed information on the end users who might occupy the premises. In these circumstances, employment density ratios provide an alternative means of estimating indicative gross impacts. </w:t>
      </w:r>
    </w:p>
    <w:p w:rsidR="00E44DE5" w:rsidRPr="00387095" w:rsidRDefault="00E44DE5" w:rsidP="00BE1C7C">
      <w:pPr>
        <w:jc w:val="both"/>
        <w:rPr>
          <w:rFonts w:ascii="Arial Narrow" w:hAnsi="Arial Narrow"/>
          <w:b/>
          <w:sz w:val="28"/>
          <w:szCs w:val="28"/>
        </w:rPr>
      </w:pPr>
      <w:r w:rsidRPr="00387095">
        <w:rPr>
          <w:rFonts w:ascii="Arial Narrow" w:hAnsi="Arial Narrow"/>
          <w:b/>
          <w:sz w:val="28"/>
          <w:szCs w:val="28"/>
        </w:rPr>
        <w:t>How do you apply floorspace densities?</w:t>
      </w:r>
    </w:p>
    <w:p w:rsidR="00E44DE5" w:rsidRPr="00387095" w:rsidRDefault="00E44DE5" w:rsidP="00BE1C7C">
      <w:pPr>
        <w:jc w:val="both"/>
        <w:rPr>
          <w:rFonts w:ascii="Arial Narrow" w:hAnsi="Arial Narrow"/>
          <w:sz w:val="24"/>
          <w:szCs w:val="24"/>
        </w:rPr>
      </w:pPr>
      <w:r w:rsidRPr="00387095">
        <w:rPr>
          <w:rFonts w:ascii="Arial Narrow" w:hAnsi="Arial Narrow"/>
          <w:sz w:val="24"/>
          <w:szCs w:val="24"/>
        </w:rPr>
        <w:t xml:space="preserve">The key source for benchmark data is </w:t>
      </w:r>
      <w:r w:rsidRPr="00387095">
        <w:rPr>
          <w:rFonts w:ascii="Arial Narrow" w:hAnsi="Arial Narrow"/>
          <w:b/>
          <w:i/>
          <w:sz w:val="24"/>
          <w:szCs w:val="24"/>
        </w:rPr>
        <w:t>Employment Densities Guide, 2</w:t>
      </w:r>
      <w:r w:rsidRPr="00387095">
        <w:rPr>
          <w:rFonts w:ascii="Arial Narrow" w:hAnsi="Arial Narrow"/>
          <w:b/>
          <w:i/>
          <w:sz w:val="24"/>
          <w:szCs w:val="24"/>
          <w:vertAlign w:val="superscript"/>
        </w:rPr>
        <w:t>nd</w:t>
      </w:r>
      <w:r w:rsidRPr="00387095">
        <w:rPr>
          <w:rFonts w:ascii="Arial Narrow" w:hAnsi="Arial Narrow"/>
          <w:b/>
          <w:i/>
          <w:sz w:val="24"/>
          <w:szCs w:val="24"/>
        </w:rPr>
        <w:t xml:space="preserve"> Edition, 2010</w:t>
      </w:r>
      <w:r w:rsidR="007A5AD5" w:rsidRPr="00387095">
        <w:rPr>
          <w:rStyle w:val="FootnoteReference"/>
          <w:rFonts w:ascii="Arial Narrow" w:hAnsi="Arial Narrow"/>
          <w:b/>
          <w:i/>
          <w:sz w:val="24"/>
          <w:szCs w:val="24"/>
        </w:rPr>
        <w:footnoteReference w:id="1"/>
      </w:r>
      <w:r w:rsidRPr="00387095">
        <w:rPr>
          <w:rFonts w:ascii="Arial Narrow" w:hAnsi="Arial Narrow"/>
          <w:sz w:val="24"/>
          <w:szCs w:val="24"/>
        </w:rPr>
        <w:t xml:space="preserve"> (OffPAT and Homes and Communities Agency). </w:t>
      </w:r>
      <w:r w:rsidR="00FA0D42">
        <w:rPr>
          <w:rFonts w:ascii="Arial Narrow" w:hAnsi="Arial Narrow"/>
          <w:sz w:val="24"/>
          <w:szCs w:val="24"/>
        </w:rPr>
        <w:t xml:space="preserve"> </w:t>
      </w:r>
      <w:r w:rsidRPr="00387095">
        <w:rPr>
          <w:rFonts w:ascii="Arial Narrow" w:hAnsi="Arial Narrow"/>
          <w:sz w:val="24"/>
          <w:szCs w:val="24"/>
        </w:rPr>
        <w:t>This provides average density ratios, expressed in terms of the square metres of floorspace needed to accommodate one FTE job, for a variety of end uses/industrial classifications, including;-</w:t>
      </w:r>
    </w:p>
    <w:p w:rsidR="00E44DE5" w:rsidRPr="00387095" w:rsidRDefault="00E44DE5" w:rsidP="00BE1C7C">
      <w:pPr>
        <w:pStyle w:val="ListParagraph"/>
        <w:numPr>
          <w:ilvl w:val="0"/>
          <w:numId w:val="1"/>
        </w:numPr>
        <w:jc w:val="both"/>
        <w:rPr>
          <w:rFonts w:ascii="Arial Narrow" w:hAnsi="Arial Narrow"/>
          <w:sz w:val="24"/>
          <w:szCs w:val="24"/>
        </w:rPr>
      </w:pPr>
      <w:r w:rsidRPr="00387095">
        <w:rPr>
          <w:rFonts w:ascii="Arial Narrow" w:hAnsi="Arial Narrow"/>
          <w:sz w:val="24"/>
          <w:szCs w:val="24"/>
        </w:rPr>
        <w:t>Industrial;</w:t>
      </w:r>
    </w:p>
    <w:p w:rsidR="00E44DE5" w:rsidRPr="00387095" w:rsidRDefault="00E44DE5" w:rsidP="00BE1C7C">
      <w:pPr>
        <w:pStyle w:val="ListParagraph"/>
        <w:numPr>
          <w:ilvl w:val="0"/>
          <w:numId w:val="1"/>
        </w:numPr>
        <w:jc w:val="both"/>
        <w:rPr>
          <w:rFonts w:ascii="Arial Narrow" w:hAnsi="Arial Narrow"/>
          <w:sz w:val="24"/>
          <w:szCs w:val="24"/>
        </w:rPr>
      </w:pPr>
      <w:r w:rsidRPr="00387095">
        <w:rPr>
          <w:rFonts w:ascii="Arial Narrow" w:hAnsi="Arial Narrow"/>
          <w:sz w:val="24"/>
          <w:szCs w:val="24"/>
        </w:rPr>
        <w:t>Warehouse and distribution;</w:t>
      </w:r>
    </w:p>
    <w:p w:rsidR="00E44DE5" w:rsidRPr="00387095" w:rsidRDefault="00E44DE5" w:rsidP="00BE1C7C">
      <w:pPr>
        <w:pStyle w:val="ListParagraph"/>
        <w:numPr>
          <w:ilvl w:val="0"/>
          <w:numId w:val="1"/>
        </w:numPr>
        <w:jc w:val="both"/>
        <w:rPr>
          <w:rFonts w:ascii="Arial Narrow" w:hAnsi="Arial Narrow"/>
          <w:sz w:val="24"/>
          <w:szCs w:val="24"/>
        </w:rPr>
      </w:pPr>
      <w:r w:rsidRPr="00387095">
        <w:rPr>
          <w:rFonts w:ascii="Arial Narrow" w:hAnsi="Arial Narrow"/>
          <w:sz w:val="24"/>
          <w:szCs w:val="24"/>
        </w:rPr>
        <w:t>Office;</w:t>
      </w:r>
    </w:p>
    <w:p w:rsidR="00E44DE5" w:rsidRPr="00387095" w:rsidRDefault="00E44DE5" w:rsidP="00BE1C7C">
      <w:pPr>
        <w:pStyle w:val="ListParagraph"/>
        <w:numPr>
          <w:ilvl w:val="0"/>
          <w:numId w:val="1"/>
        </w:numPr>
        <w:jc w:val="both"/>
        <w:rPr>
          <w:rFonts w:ascii="Arial Narrow" w:hAnsi="Arial Narrow"/>
          <w:sz w:val="24"/>
          <w:szCs w:val="24"/>
        </w:rPr>
      </w:pPr>
      <w:r w:rsidRPr="00387095">
        <w:rPr>
          <w:rFonts w:ascii="Arial Narrow" w:hAnsi="Arial Narrow"/>
          <w:sz w:val="24"/>
          <w:szCs w:val="24"/>
        </w:rPr>
        <w:t>Retail; and</w:t>
      </w:r>
    </w:p>
    <w:p w:rsidR="00E44DE5" w:rsidRPr="00387095" w:rsidRDefault="00E44DE5" w:rsidP="00BE1C7C">
      <w:pPr>
        <w:pStyle w:val="ListParagraph"/>
        <w:numPr>
          <w:ilvl w:val="0"/>
          <w:numId w:val="1"/>
        </w:numPr>
        <w:jc w:val="both"/>
        <w:rPr>
          <w:rFonts w:ascii="Arial Narrow" w:hAnsi="Arial Narrow"/>
          <w:sz w:val="24"/>
          <w:szCs w:val="24"/>
        </w:rPr>
      </w:pPr>
      <w:r w:rsidRPr="00387095">
        <w:rPr>
          <w:rFonts w:ascii="Arial Narrow" w:hAnsi="Arial Narrow"/>
          <w:sz w:val="24"/>
          <w:szCs w:val="24"/>
        </w:rPr>
        <w:t xml:space="preserve">Leisure and visitor attractions. </w:t>
      </w:r>
    </w:p>
    <w:p w:rsidR="00E44DE5" w:rsidRPr="00387095" w:rsidRDefault="00E44DE5" w:rsidP="00BE1C7C">
      <w:pPr>
        <w:pStyle w:val="ListParagraph"/>
        <w:ind w:left="0"/>
        <w:jc w:val="both"/>
        <w:rPr>
          <w:rFonts w:ascii="Arial Narrow" w:hAnsi="Arial Narrow"/>
          <w:sz w:val="24"/>
          <w:szCs w:val="24"/>
        </w:rPr>
      </w:pPr>
    </w:p>
    <w:p w:rsidR="00E44DE5" w:rsidRPr="00387095" w:rsidRDefault="00E44DE5" w:rsidP="00BE1C7C">
      <w:pPr>
        <w:pStyle w:val="ListParagraph"/>
        <w:ind w:left="0"/>
        <w:jc w:val="both"/>
        <w:rPr>
          <w:rFonts w:ascii="Arial Narrow" w:hAnsi="Arial Narrow"/>
          <w:sz w:val="24"/>
          <w:szCs w:val="24"/>
        </w:rPr>
      </w:pPr>
      <w:r w:rsidRPr="00387095">
        <w:rPr>
          <w:rFonts w:ascii="Arial Narrow" w:hAnsi="Arial Narrow"/>
          <w:sz w:val="24"/>
          <w:szCs w:val="24"/>
        </w:rPr>
        <w:t xml:space="preserve">However, the figures are very general and do not cover some of the activities that SE is increasingly asked to support. </w:t>
      </w:r>
      <w:r w:rsidR="00FA0D42">
        <w:rPr>
          <w:rFonts w:ascii="Arial Narrow" w:hAnsi="Arial Narrow"/>
          <w:sz w:val="24"/>
          <w:szCs w:val="24"/>
        </w:rPr>
        <w:t xml:space="preserve"> </w:t>
      </w:r>
      <w:r w:rsidRPr="00387095">
        <w:rPr>
          <w:rFonts w:ascii="Arial Narrow" w:hAnsi="Arial Narrow"/>
          <w:sz w:val="24"/>
          <w:szCs w:val="24"/>
        </w:rPr>
        <w:t xml:space="preserve">An example is the renewables industry, especially those elements of it that involve large scale fabrication activities. </w:t>
      </w:r>
      <w:r w:rsidR="00FA0D42">
        <w:rPr>
          <w:rFonts w:ascii="Arial Narrow" w:hAnsi="Arial Narrow"/>
          <w:sz w:val="24"/>
          <w:szCs w:val="24"/>
        </w:rPr>
        <w:t xml:space="preserve"> </w:t>
      </w:r>
      <w:r w:rsidRPr="00387095">
        <w:rPr>
          <w:rFonts w:ascii="Arial Narrow" w:hAnsi="Arial Narrow"/>
          <w:sz w:val="24"/>
          <w:szCs w:val="24"/>
        </w:rPr>
        <w:t>Using company specific data on employment and site floor areas</w:t>
      </w:r>
      <w:r w:rsidR="002F63C5" w:rsidRPr="00387095">
        <w:rPr>
          <w:rFonts w:ascii="Arial Narrow" w:hAnsi="Arial Narrow"/>
          <w:sz w:val="24"/>
          <w:szCs w:val="24"/>
        </w:rPr>
        <w:t>,</w:t>
      </w:r>
      <w:r w:rsidRPr="00387095">
        <w:rPr>
          <w:rFonts w:ascii="Arial Narrow" w:hAnsi="Arial Narrow"/>
          <w:sz w:val="24"/>
          <w:szCs w:val="24"/>
        </w:rPr>
        <w:t xml:space="preserve"> SE is</w:t>
      </w:r>
      <w:r w:rsidR="002F63C5" w:rsidRPr="00387095">
        <w:rPr>
          <w:rFonts w:ascii="Arial Narrow" w:hAnsi="Arial Narrow"/>
          <w:sz w:val="24"/>
          <w:szCs w:val="24"/>
        </w:rPr>
        <w:t xml:space="preserve"> gradually</w:t>
      </w:r>
      <w:r w:rsidRPr="00387095">
        <w:rPr>
          <w:rFonts w:ascii="Arial Narrow" w:hAnsi="Arial Narrow"/>
          <w:sz w:val="24"/>
          <w:szCs w:val="24"/>
        </w:rPr>
        <w:t xml:space="preserve"> developing more realistic densities.   </w:t>
      </w:r>
    </w:p>
    <w:p w:rsidR="00E44DE5" w:rsidRPr="00387095" w:rsidRDefault="00E44DE5" w:rsidP="00BE1C7C">
      <w:pPr>
        <w:pStyle w:val="ListParagraph"/>
        <w:ind w:left="0"/>
        <w:jc w:val="both"/>
        <w:rPr>
          <w:rFonts w:ascii="Arial Narrow" w:hAnsi="Arial Narrow"/>
          <w:sz w:val="24"/>
          <w:szCs w:val="24"/>
        </w:rPr>
      </w:pPr>
    </w:p>
    <w:p w:rsidR="00E44DE5" w:rsidRPr="00387095" w:rsidRDefault="00E44DE5" w:rsidP="00BE1C7C">
      <w:pPr>
        <w:pStyle w:val="ListParagraph"/>
        <w:ind w:left="0"/>
        <w:jc w:val="both"/>
        <w:rPr>
          <w:rFonts w:ascii="Arial Narrow" w:hAnsi="Arial Narrow"/>
          <w:sz w:val="24"/>
          <w:szCs w:val="24"/>
        </w:rPr>
      </w:pPr>
      <w:r w:rsidRPr="00387095">
        <w:rPr>
          <w:rFonts w:ascii="Arial Narrow" w:hAnsi="Arial Narrow"/>
          <w:sz w:val="24"/>
          <w:szCs w:val="24"/>
        </w:rPr>
        <w:lastRenderedPageBreak/>
        <w:t xml:space="preserve">For large scale fabrication activities (such as wave generation and wind turbines) it is estimated that some </w:t>
      </w:r>
      <w:r w:rsidR="001B3986" w:rsidRPr="00387095">
        <w:rPr>
          <w:rFonts w:ascii="Arial Narrow" w:hAnsi="Arial Narrow"/>
          <w:sz w:val="24"/>
          <w:szCs w:val="24"/>
        </w:rPr>
        <w:t xml:space="preserve">300 </w:t>
      </w:r>
      <w:r w:rsidRPr="00387095">
        <w:rPr>
          <w:rFonts w:ascii="Arial Narrow" w:hAnsi="Arial Narrow"/>
          <w:sz w:val="24"/>
          <w:szCs w:val="24"/>
        </w:rPr>
        <w:t xml:space="preserve">square metres of space are required per employee. </w:t>
      </w:r>
      <w:r w:rsidR="00FA0D42">
        <w:rPr>
          <w:rFonts w:ascii="Arial Narrow" w:hAnsi="Arial Narrow"/>
          <w:sz w:val="24"/>
          <w:szCs w:val="24"/>
        </w:rPr>
        <w:t xml:space="preserve"> </w:t>
      </w:r>
      <w:r w:rsidRPr="00387095">
        <w:rPr>
          <w:rFonts w:ascii="Arial Narrow" w:hAnsi="Arial Narrow"/>
          <w:sz w:val="24"/>
          <w:szCs w:val="24"/>
        </w:rPr>
        <w:t>This covers buildings and yard space which often forms a large proportion of total site area</w:t>
      </w:r>
      <w:r w:rsidRPr="00387095">
        <w:rPr>
          <w:rStyle w:val="FootnoteReference"/>
          <w:rFonts w:ascii="Arial Narrow" w:hAnsi="Arial Narrow"/>
          <w:sz w:val="24"/>
          <w:szCs w:val="24"/>
        </w:rPr>
        <w:footnoteReference w:id="2"/>
      </w:r>
      <w:r w:rsidRPr="00387095">
        <w:rPr>
          <w:rFonts w:ascii="Arial Narrow" w:hAnsi="Arial Narrow"/>
          <w:sz w:val="24"/>
          <w:szCs w:val="24"/>
        </w:rPr>
        <w:t xml:space="preserve">. </w:t>
      </w:r>
    </w:p>
    <w:p w:rsidR="00E44DE5" w:rsidRPr="00387095" w:rsidRDefault="00E44DE5" w:rsidP="00BE1C7C">
      <w:pPr>
        <w:pStyle w:val="ListParagraph"/>
        <w:ind w:left="0"/>
        <w:jc w:val="both"/>
        <w:rPr>
          <w:rFonts w:ascii="Arial Narrow" w:hAnsi="Arial Narrow"/>
          <w:sz w:val="24"/>
          <w:szCs w:val="24"/>
        </w:rPr>
      </w:pPr>
    </w:p>
    <w:p w:rsidR="00E44DE5" w:rsidRPr="00387095" w:rsidRDefault="00E44DE5" w:rsidP="00BE1C7C">
      <w:pPr>
        <w:pStyle w:val="ListParagraph"/>
        <w:ind w:left="0"/>
        <w:jc w:val="both"/>
        <w:rPr>
          <w:rFonts w:ascii="Arial Narrow" w:hAnsi="Arial Narrow"/>
          <w:sz w:val="24"/>
          <w:szCs w:val="24"/>
        </w:rPr>
      </w:pPr>
      <w:r w:rsidRPr="00387095">
        <w:rPr>
          <w:rFonts w:ascii="Arial Narrow" w:hAnsi="Arial Narrow"/>
          <w:sz w:val="24"/>
          <w:szCs w:val="24"/>
        </w:rPr>
        <w:t>As more sector specific employment density data is generated then this guidance will be updated.</w:t>
      </w:r>
    </w:p>
    <w:p w:rsidR="00E44DE5" w:rsidRPr="00387095" w:rsidRDefault="00E44DE5" w:rsidP="00BE1C7C">
      <w:pPr>
        <w:jc w:val="both"/>
        <w:rPr>
          <w:rFonts w:ascii="Arial Narrow" w:hAnsi="Arial Narrow"/>
          <w:sz w:val="24"/>
          <w:szCs w:val="24"/>
        </w:rPr>
      </w:pPr>
      <w:r w:rsidRPr="00387095">
        <w:rPr>
          <w:rFonts w:ascii="Arial Narrow" w:hAnsi="Arial Narrow"/>
          <w:sz w:val="24"/>
          <w:szCs w:val="24"/>
        </w:rPr>
        <w:t xml:space="preserve">To calculate the gross employment impact, the area of floorspace is simply divided by </w:t>
      </w:r>
      <w:r w:rsidR="00FA0D42">
        <w:rPr>
          <w:rFonts w:ascii="Arial Narrow" w:hAnsi="Arial Narrow"/>
          <w:sz w:val="24"/>
          <w:szCs w:val="24"/>
        </w:rPr>
        <w:t xml:space="preserve">the employment density ratio.  </w:t>
      </w:r>
      <w:r w:rsidRPr="00387095">
        <w:rPr>
          <w:rFonts w:ascii="Arial Narrow" w:hAnsi="Arial Narrow"/>
          <w:sz w:val="24"/>
          <w:szCs w:val="24"/>
        </w:rPr>
        <w:t xml:space="preserve">Consider the following example for a mixed use development. </w:t>
      </w:r>
      <w:r w:rsidR="00FA0D42">
        <w:rPr>
          <w:rFonts w:ascii="Arial Narrow" w:hAnsi="Arial Narrow"/>
          <w:sz w:val="24"/>
          <w:szCs w:val="24"/>
        </w:rPr>
        <w:t xml:space="preserve"> </w:t>
      </w:r>
      <w:r w:rsidRPr="00387095">
        <w:rPr>
          <w:rFonts w:ascii="Arial Narrow" w:hAnsi="Arial Narrow"/>
          <w:sz w:val="24"/>
          <w:szCs w:val="24"/>
        </w:rPr>
        <w:t>It can be seen that using data from the Employment Densities Guide the total gross employment that the development can accommodate is 570 employees.</w:t>
      </w:r>
    </w:p>
    <w:p w:rsidR="00E44DE5" w:rsidRPr="00387095" w:rsidRDefault="00E44DE5" w:rsidP="00BE1C7C">
      <w:pPr>
        <w:jc w:val="both"/>
        <w:rPr>
          <w:rFonts w:ascii="Arial Narrow" w:hAnsi="Arial Narrow"/>
          <w:b/>
          <w:sz w:val="24"/>
          <w:szCs w:val="24"/>
        </w:rPr>
      </w:pPr>
      <w:r w:rsidRPr="00387095">
        <w:rPr>
          <w:rFonts w:ascii="Arial Narrow" w:hAnsi="Arial Narrow"/>
          <w:b/>
          <w:sz w:val="24"/>
          <w:szCs w:val="24"/>
        </w:rPr>
        <w:t>TABLE 1</w:t>
      </w:r>
      <w:r w:rsidRPr="00387095">
        <w:rPr>
          <w:rFonts w:ascii="Arial Narrow" w:hAnsi="Arial Narrow"/>
          <w:b/>
          <w:sz w:val="24"/>
          <w:szCs w:val="24"/>
        </w:rPr>
        <w:tab/>
      </w:r>
      <w:r w:rsidRPr="00387095">
        <w:rPr>
          <w:rFonts w:ascii="Arial Narrow" w:hAnsi="Arial Narrow"/>
          <w:b/>
          <w:sz w:val="24"/>
          <w:szCs w:val="24"/>
        </w:rPr>
        <w:tab/>
        <w:t xml:space="preserve">    </w:t>
      </w:r>
      <w:r w:rsidRPr="00387095">
        <w:rPr>
          <w:rFonts w:ascii="Arial Narrow" w:hAnsi="Arial Narrow"/>
          <w:b/>
          <w:sz w:val="24"/>
          <w:szCs w:val="24"/>
          <w:u w:val="single"/>
        </w:rPr>
        <w:t>Gross Employment Impact Calculation</w:t>
      </w:r>
    </w:p>
    <w:tbl>
      <w:tblPr>
        <w:tblW w:w="9214" w:type="dxa"/>
        <w:tblInd w:w="108" w:type="dxa"/>
        <w:tblBorders>
          <w:top w:val="single" w:sz="8" w:space="0" w:color="4F81BD"/>
          <w:bottom w:val="single" w:sz="8" w:space="0" w:color="4F81BD"/>
        </w:tblBorders>
        <w:tblLook w:val="00A0"/>
      </w:tblPr>
      <w:tblGrid>
        <w:gridCol w:w="2303"/>
        <w:gridCol w:w="2304"/>
        <w:gridCol w:w="2303"/>
        <w:gridCol w:w="2304"/>
      </w:tblGrid>
      <w:tr w:rsidR="00E44DE5" w:rsidRPr="00387095" w:rsidTr="008F1AE4">
        <w:tc>
          <w:tcPr>
            <w:tcW w:w="2303" w:type="dxa"/>
            <w:tcBorders>
              <w:top w:val="single" w:sz="8" w:space="0" w:color="4F81BD"/>
              <w:left w:val="nil"/>
              <w:bottom w:val="single" w:sz="8" w:space="0" w:color="4F81BD"/>
              <w:right w:val="nil"/>
            </w:tcBorders>
          </w:tcPr>
          <w:p w:rsidR="00E44DE5" w:rsidRPr="00387095" w:rsidRDefault="00E44DE5" w:rsidP="00BE1C7C">
            <w:pPr>
              <w:spacing w:after="0" w:line="240" w:lineRule="auto"/>
              <w:jc w:val="both"/>
              <w:rPr>
                <w:rFonts w:ascii="Arial Narrow" w:hAnsi="Arial Narrow"/>
                <w:b/>
                <w:bCs/>
                <w:sz w:val="24"/>
                <w:szCs w:val="24"/>
              </w:rPr>
            </w:pPr>
            <w:r w:rsidRPr="00387095">
              <w:rPr>
                <w:rFonts w:ascii="Arial Narrow" w:hAnsi="Arial Narrow"/>
                <w:b/>
                <w:bCs/>
                <w:sz w:val="24"/>
                <w:szCs w:val="24"/>
              </w:rPr>
              <w:t>Function</w:t>
            </w:r>
          </w:p>
        </w:tc>
        <w:tc>
          <w:tcPr>
            <w:tcW w:w="2304" w:type="dxa"/>
            <w:tcBorders>
              <w:top w:val="single" w:sz="8" w:space="0" w:color="4F81BD"/>
              <w:left w:val="nil"/>
              <w:bottom w:val="single" w:sz="8" w:space="0" w:color="4F81BD"/>
              <w:right w:val="nil"/>
            </w:tcBorders>
          </w:tcPr>
          <w:p w:rsidR="00E44DE5" w:rsidRPr="00387095" w:rsidRDefault="00E44DE5" w:rsidP="00BE1C7C">
            <w:pPr>
              <w:spacing w:after="0" w:line="240" w:lineRule="auto"/>
              <w:jc w:val="both"/>
              <w:rPr>
                <w:rFonts w:ascii="Arial Narrow" w:hAnsi="Arial Narrow"/>
                <w:b/>
                <w:bCs/>
                <w:sz w:val="24"/>
                <w:szCs w:val="24"/>
              </w:rPr>
            </w:pPr>
            <w:r w:rsidRPr="00387095">
              <w:rPr>
                <w:rFonts w:ascii="Arial Narrow" w:hAnsi="Arial Narrow"/>
                <w:b/>
                <w:bCs/>
                <w:sz w:val="24"/>
                <w:szCs w:val="24"/>
              </w:rPr>
              <w:t>Floorspace (m</w:t>
            </w:r>
            <w:r w:rsidRPr="00387095">
              <w:rPr>
                <w:rFonts w:ascii="Arial Narrow" w:hAnsi="Arial Narrow"/>
                <w:b/>
                <w:bCs/>
                <w:sz w:val="24"/>
                <w:szCs w:val="24"/>
                <w:vertAlign w:val="superscript"/>
              </w:rPr>
              <w:t>2</w:t>
            </w:r>
            <w:r w:rsidRPr="00387095">
              <w:rPr>
                <w:rFonts w:ascii="Arial Narrow" w:hAnsi="Arial Narrow"/>
                <w:b/>
                <w:bCs/>
                <w:sz w:val="24"/>
                <w:szCs w:val="24"/>
              </w:rPr>
              <w:t>)</w:t>
            </w:r>
          </w:p>
        </w:tc>
        <w:tc>
          <w:tcPr>
            <w:tcW w:w="2303" w:type="dxa"/>
            <w:tcBorders>
              <w:top w:val="single" w:sz="8" w:space="0" w:color="4F81BD"/>
              <w:left w:val="nil"/>
              <w:bottom w:val="single" w:sz="8" w:space="0" w:color="4F81BD"/>
              <w:right w:val="nil"/>
            </w:tcBorders>
          </w:tcPr>
          <w:p w:rsidR="00E44DE5" w:rsidRPr="00387095" w:rsidRDefault="00E44DE5" w:rsidP="00BE1C7C">
            <w:pPr>
              <w:spacing w:after="0" w:line="240" w:lineRule="auto"/>
              <w:jc w:val="both"/>
              <w:rPr>
                <w:rFonts w:ascii="Arial Narrow" w:hAnsi="Arial Narrow"/>
                <w:b/>
                <w:bCs/>
                <w:sz w:val="24"/>
                <w:szCs w:val="24"/>
              </w:rPr>
            </w:pPr>
            <w:r w:rsidRPr="00387095">
              <w:rPr>
                <w:rFonts w:ascii="Arial Narrow" w:hAnsi="Arial Narrow"/>
                <w:b/>
                <w:bCs/>
                <w:sz w:val="24"/>
                <w:szCs w:val="24"/>
              </w:rPr>
              <w:t>Floorspace density</w:t>
            </w:r>
          </w:p>
        </w:tc>
        <w:tc>
          <w:tcPr>
            <w:tcW w:w="2304" w:type="dxa"/>
            <w:tcBorders>
              <w:top w:val="single" w:sz="8" w:space="0" w:color="4F81BD"/>
              <w:left w:val="nil"/>
              <w:bottom w:val="single" w:sz="8" w:space="0" w:color="4F81BD"/>
              <w:right w:val="nil"/>
            </w:tcBorders>
          </w:tcPr>
          <w:p w:rsidR="00E44DE5" w:rsidRPr="00387095" w:rsidRDefault="00E44DE5" w:rsidP="00BE1C7C">
            <w:pPr>
              <w:spacing w:after="0" w:line="240" w:lineRule="auto"/>
              <w:jc w:val="both"/>
              <w:rPr>
                <w:rFonts w:ascii="Arial Narrow" w:hAnsi="Arial Narrow"/>
                <w:b/>
                <w:bCs/>
                <w:sz w:val="24"/>
                <w:szCs w:val="24"/>
              </w:rPr>
            </w:pPr>
            <w:r w:rsidRPr="00387095">
              <w:rPr>
                <w:rFonts w:ascii="Arial Narrow" w:hAnsi="Arial Narrow"/>
                <w:b/>
                <w:bCs/>
                <w:sz w:val="24"/>
                <w:szCs w:val="24"/>
              </w:rPr>
              <w:t>Gross FTE’s</w:t>
            </w:r>
          </w:p>
        </w:tc>
      </w:tr>
      <w:tr w:rsidR="00E44DE5" w:rsidRPr="00387095" w:rsidTr="008F1AE4">
        <w:tc>
          <w:tcPr>
            <w:tcW w:w="2303" w:type="dxa"/>
            <w:tcBorders>
              <w:left w:val="nil"/>
              <w:right w:val="nil"/>
            </w:tcBorders>
            <w:shd w:val="clear" w:color="auto" w:fill="D3DFEE"/>
          </w:tcPr>
          <w:p w:rsidR="00E44DE5" w:rsidRPr="00387095" w:rsidRDefault="00E44DE5" w:rsidP="00BE1C7C">
            <w:pPr>
              <w:spacing w:after="0" w:line="240" w:lineRule="auto"/>
              <w:jc w:val="both"/>
              <w:rPr>
                <w:rFonts w:ascii="Arial Narrow" w:hAnsi="Arial Narrow"/>
                <w:b/>
                <w:bCs/>
                <w:sz w:val="24"/>
                <w:szCs w:val="24"/>
              </w:rPr>
            </w:pPr>
            <w:r w:rsidRPr="00387095">
              <w:rPr>
                <w:rFonts w:ascii="Arial Narrow" w:hAnsi="Arial Narrow"/>
                <w:bCs/>
                <w:sz w:val="24"/>
                <w:szCs w:val="24"/>
              </w:rPr>
              <w:t>Call centre</w:t>
            </w:r>
          </w:p>
        </w:tc>
        <w:tc>
          <w:tcPr>
            <w:tcW w:w="2304" w:type="dxa"/>
            <w:tcBorders>
              <w:left w:val="nil"/>
              <w:right w:val="nil"/>
            </w:tcBorders>
            <w:shd w:val="clear" w:color="auto" w:fill="D3DFEE"/>
          </w:tcPr>
          <w:p w:rsidR="00E44DE5" w:rsidRPr="00387095"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2,000</w:t>
            </w:r>
          </w:p>
        </w:tc>
        <w:tc>
          <w:tcPr>
            <w:tcW w:w="2303" w:type="dxa"/>
            <w:tcBorders>
              <w:left w:val="nil"/>
              <w:right w:val="nil"/>
            </w:tcBorders>
            <w:shd w:val="clear" w:color="auto" w:fill="D3DFEE"/>
          </w:tcPr>
          <w:p w:rsidR="00E44DE5" w:rsidRPr="00387095"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8</w:t>
            </w:r>
          </w:p>
        </w:tc>
        <w:tc>
          <w:tcPr>
            <w:tcW w:w="2304" w:type="dxa"/>
            <w:tcBorders>
              <w:left w:val="nil"/>
              <w:right w:val="nil"/>
            </w:tcBorders>
            <w:shd w:val="clear" w:color="auto" w:fill="D3DFEE"/>
          </w:tcPr>
          <w:p w:rsidR="00E44DE5" w:rsidRPr="00387095"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2,000/8= 250</w:t>
            </w:r>
          </w:p>
        </w:tc>
      </w:tr>
      <w:tr w:rsidR="00E44DE5" w:rsidRPr="00387095" w:rsidTr="008F1AE4">
        <w:tc>
          <w:tcPr>
            <w:tcW w:w="2303" w:type="dxa"/>
          </w:tcPr>
          <w:p w:rsidR="00E44DE5" w:rsidRPr="00387095" w:rsidRDefault="00E44DE5" w:rsidP="00BE1C7C">
            <w:pPr>
              <w:spacing w:after="0" w:line="240" w:lineRule="auto"/>
              <w:jc w:val="both"/>
              <w:rPr>
                <w:rFonts w:ascii="Arial Narrow" w:hAnsi="Arial Narrow"/>
                <w:b/>
                <w:bCs/>
                <w:sz w:val="24"/>
                <w:szCs w:val="24"/>
              </w:rPr>
            </w:pPr>
            <w:r w:rsidRPr="00387095">
              <w:rPr>
                <w:rFonts w:ascii="Arial Narrow" w:hAnsi="Arial Narrow"/>
                <w:bCs/>
                <w:sz w:val="24"/>
                <w:szCs w:val="24"/>
              </w:rPr>
              <w:t>Light industrial use</w:t>
            </w:r>
          </w:p>
        </w:tc>
        <w:tc>
          <w:tcPr>
            <w:tcW w:w="2304" w:type="dxa"/>
          </w:tcPr>
          <w:p w:rsidR="00E44DE5" w:rsidRPr="00387095"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10,000</w:t>
            </w:r>
          </w:p>
        </w:tc>
        <w:tc>
          <w:tcPr>
            <w:tcW w:w="2303" w:type="dxa"/>
          </w:tcPr>
          <w:p w:rsidR="00E44DE5" w:rsidRPr="00387095"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47</w:t>
            </w:r>
          </w:p>
        </w:tc>
        <w:tc>
          <w:tcPr>
            <w:tcW w:w="2304" w:type="dxa"/>
          </w:tcPr>
          <w:p w:rsidR="00E44DE5" w:rsidRPr="00387095"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10,000/47= 213</w:t>
            </w:r>
          </w:p>
        </w:tc>
      </w:tr>
      <w:tr w:rsidR="00E44DE5" w:rsidRPr="00387095" w:rsidTr="00A274C7">
        <w:tc>
          <w:tcPr>
            <w:tcW w:w="2303" w:type="dxa"/>
            <w:tcBorders>
              <w:left w:val="nil"/>
              <w:right w:val="nil"/>
            </w:tcBorders>
            <w:shd w:val="clear" w:color="auto" w:fill="D3DFEE"/>
          </w:tcPr>
          <w:p w:rsidR="00E44DE5" w:rsidRPr="00387095" w:rsidRDefault="00E44DE5" w:rsidP="00BE1C7C">
            <w:pPr>
              <w:spacing w:after="0" w:line="240" w:lineRule="auto"/>
              <w:jc w:val="both"/>
              <w:rPr>
                <w:rFonts w:ascii="Arial Narrow" w:hAnsi="Arial Narrow"/>
                <w:b/>
                <w:bCs/>
                <w:sz w:val="24"/>
                <w:szCs w:val="24"/>
              </w:rPr>
            </w:pPr>
            <w:r w:rsidRPr="00387095">
              <w:rPr>
                <w:rFonts w:ascii="Arial Narrow" w:hAnsi="Arial Narrow"/>
                <w:bCs/>
                <w:sz w:val="24"/>
                <w:szCs w:val="24"/>
              </w:rPr>
              <w:t>General warehousing</w:t>
            </w:r>
          </w:p>
        </w:tc>
        <w:tc>
          <w:tcPr>
            <w:tcW w:w="2304" w:type="dxa"/>
            <w:tcBorders>
              <w:left w:val="nil"/>
              <w:right w:val="nil"/>
            </w:tcBorders>
            <w:shd w:val="clear" w:color="auto" w:fill="D3DFEE"/>
          </w:tcPr>
          <w:p w:rsidR="00E44DE5" w:rsidRPr="00387095"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7,500</w:t>
            </w:r>
          </w:p>
        </w:tc>
        <w:tc>
          <w:tcPr>
            <w:tcW w:w="2303" w:type="dxa"/>
            <w:tcBorders>
              <w:left w:val="nil"/>
              <w:right w:val="nil"/>
            </w:tcBorders>
            <w:shd w:val="clear" w:color="auto" w:fill="D3DFEE"/>
          </w:tcPr>
          <w:p w:rsidR="00E44DE5" w:rsidRPr="00387095"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70</w:t>
            </w:r>
          </w:p>
        </w:tc>
        <w:tc>
          <w:tcPr>
            <w:tcW w:w="2304" w:type="dxa"/>
            <w:tcBorders>
              <w:left w:val="nil"/>
              <w:right w:val="nil"/>
            </w:tcBorders>
            <w:shd w:val="clear" w:color="auto" w:fill="D3DFEE"/>
          </w:tcPr>
          <w:p w:rsidR="00E44DE5" w:rsidRPr="00387095"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7,500/70=107</w:t>
            </w:r>
          </w:p>
        </w:tc>
      </w:tr>
      <w:tr w:rsidR="00E44DE5" w:rsidRPr="00387095" w:rsidTr="008F1AE4">
        <w:tc>
          <w:tcPr>
            <w:tcW w:w="2303" w:type="dxa"/>
            <w:tcBorders>
              <w:left w:val="nil"/>
              <w:bottom w:val="single" w:sz="8" w:space="0" w:color="4F81BD"/>
              <w:right w:val="nil"/>
            </w:tcBorders>
            <w:shd w:val="clear" w:color="auto" w:fill="D3DFEE"/>
          </w:tcPr>
          <w:p w:rsidR="00E44DE5" w:rsidRPr="00387095" w:rsidDel="00A274C7" w:rsidRDefault="00E44DE5" w:rsidP="00BE1C7C">
            <w:pPr>
              <w:spacing w:after="0" w:line="240" w:lineRule="auto"/>
              <w:jc w:val="both"/>
              <w:rPr>
                <w:rFonts w:ascii="Arial Narrow" w:hAnsi="Arial Narrow"/>
                <w:bCs/>
                <w:sz w:val="24"/>
                <w:szCs w:val="24"/>
              </w:rPr>
            </w:pPr>
            <w:r w:rsidRPr="00387095">
              <w:rPr>
                <w:rFonts w:ascii="Arial Narrow" w:hAnsi="Arial Narrow"/>
                <w:bCs/>
                <w:sz w:val="24"/>
                <w:szCs w:val="24"/>
              </w:rPr>
              <w:t>TOTAL</w:t>
            </w:r>
          </w:p>
        </w:tc>
        <w:tc>
          <w:tcPr>
            <w:tcW w:w="2304" w:type="dxa"/>
            <w:tcBorders>
              <w:left w:val="nil"/>
              <w:bottom w:val="single" w:sz="8" w:space="0" w:color="4F81BD"/>
              <w:right w:val="nil"/>
            </w:tcBorders>
            <w:shd w:val="clear" w:color="auto" w:fill="D3DFEE"/>
          </w:tcPr>
          <w:p w:rsidR="00E44DE5" w:rsidRPr="00387095"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19,500</w:t>
            </w:r>
          </w:p>
        </w:tc>
        <w:tc>
          <w:tcPr>
            <w:tcW w:w="2303" w:type="dxa"/>
            <w:tcBorders>
              <w:left w:val="nil"/>
              <w:bottom w:val="single" w:sz="8" w:space="0" w:color="4F81BD"/>
              <w:right w:val="nil"/>
            </w:tcBorders>
            <w:shd w:val="clear" w:color="auto" w:fill="D3DFEE"/>
          </w:tcPr>
          <w:p w:rsidR="00E44DE5" w:rsidRPr="00387095" w:rsidDel="00A274C7"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N/A</w:t>
            </w:r>
          </w:p>
        </w:tc>
        <w:tc>
          <w:tcPr>
            <w:tcW w:w="2304" w:type="dxa"/>
            <w:tcBorders>
              <w:left w:val="nil"/>
              <w:bottom w:val="single" w:sz="8" w:space="0" w:color="4F81BD"/>
              <w:right w:val="nil"/>
            </w:tcBorders>
            <w:shd w:val="clear" w:color="auto" w:fill="D3DFEE"/>
          </w:tcPr>
          <w:p w:rsidR="00E44DE5" w:rsidRPr="00387095" w:rsidRDefault="00E44DE5" w:rsidP="00BE1C7C">
            <w:pPr>
              <w:spacing w:after="0" w:line="240" w:lineRule="auto"/>
              <w:jc w:val="both"/>
              <w:rPr>
                <w:rFonts w:ascii="Arial Narrow" w:hAnsi="Arial Narrow"/>
                <w:sz w:val="24"/>
                <w:szCs w:val="24"/>
              </w:rPr>
            </w:pPr>
            <w:r w:rsidRPr="00387095">
              <w:rPr>
                <w:rFonts w:ascii="Arial Narrow" w:hAnsi="Arial Narrow"/>
                <w:sz w:val="24"/>
                <w:szCs w:val="24"/>
              </w:rPr>
              <w:t>570</w:t>
            </w:r>
          </w:p>
        </w:tc>
      </w:tr>
    </w:tbl>
    <w:p w:rsidR="00E44DE5" w:rsidRPr="00387095" w:rsidRDefault="00E44DE5" w:rsidP="00BE1C7C">
      <w:pPr>
        <w:spacing w:after="0"/>
        <w:jc w:val="both"/>
        <w:rPr>
          <w:rFonts w:ascii="Arial Narrow" w:hAnsi="Arial Narrow"/>
          <w:b/>
          <w:sz w:val="24"/>
          <w:szCs w:val="24"/>
        </w:rPr>
      </w:pPr>
    </w:p>
    <w:p w:rsidR="00E44DE5" w:rsidRPr="00387095" w:rsidRDefault="00E44DE5" w:rsidP="00BE1C7C">
      <w:pPr>
        <w:jc w:val="both"/>
        <w:rPr>
          <w:rFonts w:ascii="Arial Narrow" w:hAnsi="Arial Narrow"/>
          <w:sz w:val="24"/>
          <w:szCs w:val="24"/>
        </w:rPr>
      </w:pPr>
      <w:r w:rsidRPr="00387095">
        <w:rPr>
          <w:rFonts w:ascii="Arial Narrow" w:hAnsi="Arial Narrow"/>
          <w:sz w:val="24"/>
          <w:szCs w:val="24"/>
        </w:rPr>
        <w:t>Having calculated this information an estimate can then be made of the gross GVA impact. This is done by:-</w:t>
      </w:r>
    </w:p>
    <w:p w:rsidR="00E44DE5" w:rsidRPr="00387095" w:rsidRDefault="00E44DE5" w:rsidP="00A274C7">
      <w:pPr>
        <w:numPr>
          <w:ilvl w:val="0"/>
          <w:numId w:val="5"/>
        </w:numPr>
        <w:jc w:val="both"/>
        <w:rPr>
          <w:rFonts w:ascii="Arial Narrow" w:hAnsi="Arial Narrow"/>
          <w:sz w:val="24"/>
          <w:szCs w:val="24"/>
        </w:rPr>
      </w:pPr>
      <w:r w:rsidRPr="00387095">
        <w:rPr>
          <w:rFonts w:ascii="Arial Narrow" w:hAnsi="Arial Narrow"/>
          <w:sz w:val="24"/>
          <w:szCs w:val="24"/>
        </w:rPr>
        <w:t>Using figures from the Scottish Annual Business Statistics</w:t>
      </w:r>
      <w:r w:rsidR="00743CEC" w:rsidRPr="00387095">
        <w:rPr>
          <w:rFonts w:ascii="Arial Narrow" w:hAnsi="Arial Narrow"/>
          <w:sz w:val="24"/>
          <w:szCs w:val="24"/>
        </w:rPr>
        <w:t xml:space="preserve"> (pp.42-46)</w:t>
      </w:r>
      <w:r w:rsidRPr="00387095">
        <w:rPr>
          <w:rStyle w:val="FootnoteReference"/>
          <w:rFonts w:ascii="Arial Narrow" w:hAnsi="Arial Narrow"/>
          <w:sz w:val="24"/>
          <w:szCs w:val="24"/>
        </w:rPr>
        <w:footnoteReference w:id="3"/>
      </w:r>
      <w:r w:rsidR="007A5AD5" w:rsidRPr="00387095">
        <w:rPr>
          <w:rFonts w:ascii="Arial Narrow" w:hAnsi="Arial Narrow"/>
          <w:sz w:val="24"/>
          <w:szCs w:val="24"/>
        </w:rPr>
        <w:t xml:space="preserve"> (unless other better evidence is available)</w:t>
      </w:r>
      <w:r w:rsidRPr="00387095">
        <w:rPr>
          <w:rFonts w:ascii="Arial Narrow" w:hAnsi="Arial Narrow"/>
          <w:sz w:val="24"/>
          <w:szCs w:val="24"/>
        </w:rPr>
        <w:t>, the GVA per employee for the relevant activities can be identified; and</w:t>
      </w:r>
    </w:p>
    <w:p w:rsidR="00E44DE5" w:rsidRPr="00387095" w:rsidRDefault="00E44DE5" w:rsidP="00A274C7">
      <w:pPr>
        <w:numPr>
          <w:ilvl w:val="0"/>
          <w:numId w:val="5"/>
        </w:numPr>
        <w:jc w:val="both"/>
        <w:rPr>
          <w:rFonts w:ascii="Arial Narrow" w:hAnsi="Arial Narrow"/>
          <w:sz w:val="24"/>
          <w:szCs w:val="24"/>
        </w:rPr>
      </w:pPr>
      <w:r w:rsidRPr="00387095">
        <w:rPr>
          <w:rFonts w:ascii="Arial Narrow" w:hAnsi="Arial Narrow"/>
          <w:sz w:val="24"/>
          <w:szCs w:val="24"/>
        </w:rPr>
        <w:t>This can then be multiplied by the relevant number of employees to derive a gross GVA figure.</w:t>
      </w:r>
    </w:p>
    <w:p w:rsidR="00E44DE5" w:rsidRPr="00387095" w:rsidRDefault="00E44DE5" w:rsidP="0082651C">
      <w:pPr>
        <w:jc w:val="both"/>
        <w:rPr>
          <w:rFonts w:ascii="Arial Narrow" w:hAnsi="Arial Narrow"/>
          <w:sz w:val="24"/>
          <w:szCs w:val="24"/>
        </w:rPr>
      </w:pPr>
      <w:r w:rsidRPr="00387095">
        <w:rPr>
          <w:rFonts w:ascii="Arial Narrow" w:hAnsi="Arial Narrow"/>
          <w:sz w:val="24"/>
          <w:szCs w:val="24"/>
        </w:rPr>
        <w:t xml:space="preserve">This is illustrated in Table 2. It can be seen that the annual gross GVA estimated to be created by the employees </w:t>
      </w:r>
      <w:r w:rsidR="00FA0D42">
        <w:rPr>
          <w:rFonts w:ascii="Arial Narrow" w:hAnsi="Arial Narrow"/>
          <w:sz w:val="24"/>
          <w:szCs w:val="24"/>
        </w:rPr>
        <w:t>housed in this space is some £29.6</w:t>
      </w:r>
      <w:r w:rsidRPr="00387095">
        <w:rPr>
          <w:rFonts w:ascii="Arial Narrow" w:hAnsi="Arial Narrow"/>
          <w:sz w:val="24"/>
          <w:szCs w:val="24"/>
        </w:rPr>
        <w:t xml:space="preserve"> million.</w:t>
      </w:r>
    </w:p>
    <w:p w:rsidR="00E44DE5" w:rsidRPr="00387095" w:rsidRDefault="00E44DE5" w:rsidP="0082651C">
      <w:pPr>
        <w:jc w:val="both"/>
        <w:rPr>
          <w:rFonts w:ascii="Arial Narrow" w:hAnsi="Arial Narrow"/>
          <w:b/>
          <w:sz w:val="24"/>
          <w:szCs w:val="24"/>
        </w:rPr>
      </w:pPr>
      <w:r w:rsidRPr="00387095">
        <w:rPr>
          <w:rFonts w:ascii="Arial Narrow" w:hAnsi="Arial Narrow"/>
          <w:b/>
          <w:sz w:val="24"/>
          <w:szCs w:val="24"/>
        </w:rPr>
        <w:t>TABLE 2</w:t>
      </w:r>
      <w:r w:rsidRPr="00387095">
        <w:rPr>
          <w:rFonts w:ascii="Arial Narrow" w:hAnsi="Arial Narrow"/>
          <w:b/>
          <w:sz w:val="24"/>
          <w:szCs w:val="24"/>
        </w:rPr>
        <w:tab/>
      </w:r>
      <w:r w:rsidRPr="00387095">
        <w:rPr>
          <w:rFonts w:ascii="Arial Narrow" w:hAnsi="Arial Narrow"/>
          <w:b/>
          <w:sz w:val="24"/>
          <w:szCs w:val="24"/>
        </w:rPr>
        <w:tab/>
      </w:r>
      <w:r w:rsidRPr="00387095">
        <w:rPr>
          <w:rFonts w:ascii="Arial Narrow" w:hAnsi="Arial Narrow"/>
          <w:b/>
          <w:sz w:val="24"/>
          <w:szCs w:val="24"/>
        </w:rPr>
        <w:tab/>
      </w:r>
      <w:r w:rsidRPr="00387095">
        <w:rPr>
          <w:rFonts w:ascii="Arial Narrow" w:hAnsi="Arial Narrow"/>
          <w:b/>
          <w:sz w:val="24"/>
          <w:szCs w:val="24"/>
          <w:u w:val="single"/>
        </w:rPr>
        <w:t>Gross GVA Impact Calculations</w:t>
      </w:r>
    </w:p>
    <w:tbl>
      <w:tblPr>
        <w:tblW w:w="9214" w:type="dxa"/>
        <w:tblInd w:w="108" w:type="dxa"/>
        <w:tblBorders>
          <w:top w:val="single" w:sz="8" w:space="0" w:color="4F81BD"/>
          <w:bottom w:val="single" w:sz="8" w:space="0" w:color="4F81BD"/>
        </w:tblBorders>
        <w:tblLook w:val="00A0"/>
      </w:tblPr>
      <w:tblGrid>
        <w:gridCol w:w="2303"/>
        <w:gridCol w:w="2304"/>
        <w:gridCol w:w="2303"/>
        <w:gridCol w:w="2304"/>
      </w:tblGrid>
      <w:tr w:rsidR="00E44DE5" w:rsidRPr="00387095" w:rsidTr="00B2054B">
        <w:tc>
          <w:tcPr>
            <w:tcW w:w="2303" w:type="dxa"/>
            <w:tcBorders>
              <w:top w:val="single" w:sz="8" w:space="0" w:color="4F81BD"/>
              <w:left w:val="nil"/>
              <w:bottom w:val="single" w:sz="8" w:space="0" w:color="4F81BD"/>
              <w:right w:val="nil"/>
            </w:tcBorders>
          </w:tcPr>
          <w:p w:rsidR="00E44DE5" w:rsidRPr="00387095" w:rsidRDefault="00E44DE5" w:rsidP="00B2054B">
            <w:pPr>
              <w:spacing w:after="0" w:line="240" w:lineRule="auto"/>
              <w:jc w:val="both"/>
              <w:rPr>
                <w:rFonts w:ascii="Arial Narrow" w:hAnsi="Arial Narrow"/>
                <w:b/>
                <w:bCs/>
                <w:sz w:val="24"/>
                <w:szCs w:val="24"/>
              </w:rPr>
            </w:pPr>
            <w:r w:rsidRPr="00387095">
              <w:rPr>
                <w:rFonts w:ascii="Arial Narrow" w:hAnsi="Arial Narrow"/>
                <w:b/>
                <w:bCs/>
                <w:sz w:val="24"/>
                <w:szCs w:val="24"/>
              </w:rPr>
              <w:t>Function</w:t>
            </w:r>
            <w:r w:rsidRPr="00387095">
              <w:rPr>
                <w:rStyle w:val="FootnoteReference"/>
                <w:rFonts w:ascii="Arial Narrow" w:hAnsi="Arial Narrow"/>
                <w:b/>
                <w:bCs/>
                <w:sz w:val="24"/>
                <w:szCs w:val="24"/>
              </w:rPr>
              <w:footnoteReference w:id="4"/>
            </w:r>
          </w:p>
        </w:tc>
        <w:tc>
          <w:tcPr>
            <w:tcW w:w="2304" w:type="dxa"/>
            <w:tcBorders>
              <w:top w:val="single" w:sz="8" w:space="0" w:color="4F81BD"/>
              <w:left w:val="nil"/>
              <w:bottom w:val="single" w:sz="8" w:space="0" w:color="4F81BD"/>
              <w:right w:val="nil"/>
            </w:tcBorders>
          </w:tcPr>
          <w:p w:rsidR="00E44DE5" w:rsidRPr="00387095" w:rsidRDefault="00E44DE5" w:rsidP="00743CEC">
            <w:pPr>
              <w:spacing w:after="0" w:line="240" w:lineRule="auto"/>
              <w:jc w:val="both"/>
              <w:rPr>
                <w:rFonts w:ascii="Arial Narrow" w:hAnsi="Arial Narrow"/>
                <w:b/>
                <w:bCs/>
                <w:sz w:val="24"/>
                <w:szCs w:val="24"/>
              </w:rPr>
            </w:pPr>
            <w:r w:rsidRPr="00387095">
              <w:rPr>
                <w:rFonts w:ascii="Arial Narrow" w:hAnsi="Arial Narrow"/>
                <w:b/>
                <w:bCs/>
                <w:sz w:val="24"/>
                <w:szCs w:val="24"/>
              </w:rPr>
              <w:t>GVA per employee</w:t>
            </w:r>
            <w:r w:rsidR="00743CEC" w:rsidRPr="00387095">
              <w:rPr>
                <w:rFonts w:ascii="Arial Narrow" w:hAnsi="Arial Narrow"/>
                <w:b/>
                <w:bCs/>
                <w:sz w:val="24"/>
                <w:szCs w:val="24"/>
              </w:rPr>
              <w:t xml:space="preserve">    (2011)</w:t>
            </w:r>
          </w:p>
        </w:tc>
        <w:tc>
          <w:tcPr>
            <w:tcW w:w="2303" w:type="dxa"/>
            <w:tcBorders>
              <w:top w:val="single" w:sz="8" w:space="0" w:color="4F81BD"/>
              <w:left w:val="nil"/>
              <w:bottom w:val="single" w:sz="8" w:space="0" w:color="4F81BD"/>
              <w:right w:val="nil"/>
            </w:tcBorders>
          </w:tcPr>
          <w:p w:rsidR="00E44DE5" w:rsidRPr="00387095" w:rsidRDefault="00E44DE5" w:rsidP="00B2054B">
            <w:pPr>
              <w:spacing w:after="0" w:line="240" w:lineRule="auto"/>
              <w:jc w:val="both"/>
              <w:rPr>
                <w:rFonts w:ascii="Arial Narrow" w:hAnsi="Arial Narrow"/>
                <w:b/>
                <w:bCs/>
                <w:sz w:val="24"/>
                <w:szCs w:val="24"/>
              </w:rPr>
            </w:pPr>
            <w:r w:rsidRPr="00387095">
              <w:rPr>
                <w:rFonts w:ascii="Arial Narrow" w:hAnsi="Arial Narrow"/>
                <w:b/>
                <w:bCs/>
                <w:sz w:val="24"/>
                <w:szCs w:val="24"/>
              </w:rPr>
              <w:t>Gross FTEs</w:t>
            </w:r>
          </w:p>
        </w:tc>
        <w:tc>
          <w:tcPr>
            <w:tcW w:w="2304" w:type="dxa"/>
            <w:tcBorders>
              <w:top w:val="single" w:sz="8" w:space="0" w:color="4F81BD"/>
              <w:left w:val="nil"/>
              <w:bottom w:val="single" w:sz="8" w:space="0" w:color="4F81BD"/>
              <w:right w:val="nil"/>
            </w:tcBorders>
          </w:tcPr>
          <w:p w:rsidR="00E44DE5" w:rsidRPr="00387095" w:rsidRDefault="00E44DE5" w:rsidP="00B2054B">
            <w:pPr>
              <w:spacing w:after="0" w:line="240" w:lineRule="auto"/>
              <w:jc w:val="both"/>
              <w:rPr>
                <w:rFonts w:ascii="Arial Narrow" w:hAnsi="Arial Narrow"/>
                <w:b/>
                <w:bCs/>
                <w:sz w:val="24"/>
                <w:szCs w:val="24"/>
              </w:rPr>
            </w:pPr>
            <w:r w:rsidRPr="00387095">
              <w:rPr>
                <w:rFonts w:ascii="Arial Narrow" w:hAnsi="Arial Narrow"/>
                <w:b/>
                <w:bCs/>
                <w:sz w:val="24"/>
                <w:szCs w:val="24"/>
              </w:rPr>
              <w:t>Annual Gross GVA</w:t>
            </w:r>
          </w:p>
        </w:tc>
      </w:tr>
      <w:tr w:rsidR="00E44DE5" w:rsidRPr="00387095" w:rsidTr="00B2054B">
        <w:tc>
          <w:tcPr>
            <w:tcW w:w="2303" w:type="dxa"/>
            <w:tcBorders>
              <w:left w:val="nil"/>
              <w:right w:val="nil"/>
            </w:tcBorders>
            <w:shd w:val="clear" w:color="auto" w:fill="D3DFEE"/>
          </w:tcPr>
          <w:p w:rsidR="00E44DE5" w:rsidRPr="00387095" w:rsidRDefault="00E44DE5" w:rsidP="00B2054B">
            <w:pPr>
              <w:spacing w:after="0" w:line="240" w:lineRule="auto"/>
              <w:jc w:val="both"/>
              <w:rPr>
                <w:rFonts w:ascii="Arial Narrow" w:hAnsi="Arial Narrow"/>
                <w:b/>
                <w:bCs/>
                <w:sz w:val="24"/>
                <w:szCs w:val="24"/>
              </w:rPr>
            </w:pPr>
            <w:r w:rsidRPr="00387095">
              <w:rPr>
                <w:rFonts w:ascii="Arial Narrow" w:hAnsi="Arial Narrow"/>
                <w:bCs/>
                <w:sz w:val="24"/>
                <w:szCs w:val="24"/>
              </w:rPr>
              <w:t>Call centre (</w:t>
            </w:r>
            <w:r w:rsidRPr="00387095">
              <w:rPr>
                <w:rFonts w:ascii="Arial Narrow" w:hAnsi="Arial Narrow"/>
                <w:bCs/>
                <w:sz w:val="16"/>
                <w:szCs w:val="16"/>
              </w:rPr>
              <w:t>SIC 82)</w:t>
            </w:r>
          </w:p>
        </w:tc>
        <w:tc>
          <w:tcPr>
            <w:tcW w:w="2304" w:type="dxa"/>
            <w:tcBorders>
              <w:left w:val="nil"/>
              <w:right w:val="nil"/>
            </w:tcBorders>
            <w:shd w:val="clear" w:color="auto" w:fill="D3DFEE"/>
          </w:tcPr>
          <w:p w:rsidR="00E44DE5" w:rsidRPr="00387095" w:rsidRDefault="00E44DE5" w:rsidP="00B2054B">
            <w:pPr>
              <w:spacing w:after="0" w:line="240" w:lineRule="auto"/>
              <w:jc w:val="both"/>
              <w:rPr>
                <w:rFonts w:ascii="Arial Narrow" w:hAnsi="Arial Narrow"/>
                <w:sz w:val="24"/>
                <w:szCs w:val="24"/>
              </w:rPr>
            </w:pPr>
            <w:r w:rsidRPr="00387095">
              <w:rPr>
                <w:rFonts w:ascii="Arial Narrow" w:hAnsi="Arial Narrow"/>
                <w:sz w:val="24"/>
                <w:szCs w:val="24"/>
              </w:rPr>
              <w:t>£4</w:t>
            </w:r>
            <w:r w:rsidR="00743CEC" w:rsidRPr="00387095">
              <w:rPr>
                <w:rFonts w:ascii="Arial Narrow" w:hAnsi="Arial Narrow"/>
                <w:sz w:val="24"/>
                <w:szCs w:val="24"/>
              </w:rPr>
              <w:t>9</w:t>
            </w:r>
            <w:r w:rsidRPr="00387095">
              <w:rPr>
                <w:rFonts w:ascii="Arial Narrow" w:hAnsi="Arial Narrow"/>
                <w:sz w:val="24"/>
                <w:szCs w:val="24"/>
              </w:rPr>
              <w:t>,000</w:t>
            </w:r>
          </w:p>
        </w:tc>
        <w:tc>
          <w:tcPr>
            <w:tcW w:w="2303" w:type="dxa"/>
            <w:tcBorders>
              <w:left w:val="nil"/>
              <w:right w:val="nil"/>
            </w:tcBorders>
            <w:shd w:val="clear" w:color="auto" w:fill="D3DFEE"/>
          </w:tcPr>
          <w:p w:rsidR="00E44DE5" w:rsidRPr="00387095" w:rsidRDefault="00E44DE5" w:rsidP="00B2054B">
            <w:pPr>
              <w:spacing w:after="0" w:line="240" w:lineRule="auto"/>
              <w:jc w:val="both"/>
              <w:rPr>
                <w:rFonts w:ascii="Arial Narrow" w:hAnsi="Arial Narrow"/>
                <w:sz w:val="24"/>
                <w:szCs w:val="24"/>
              </w:rPr>
            </w:pPr>
            <w:r w:rsidRPr="00387095">
              <w:rPr>
                <w:rFonts w:ascii="Arial Narrow" w:hAnsi="Arial Narrow"/>
                <w:sz w:val="24"/>
                <w:szCs w:val="24"/>
              </w:rPr>
              <w:t>250</w:t>
            </w:r>
          </w:p>
        </w:tc>
        <w:tc>
          <w:tcPr>
            <w:tcW w:w="2304" w:type="dxa"/>
            <w:tcBorders>
              <w:left w:val="nil"/>
              <w:right w:val="nil"/>
            </w:tcBorders>
            <w:shd w:val="clear" w:color="auto" w:fill="D3DFEE"/>
          </w:tcPr>
          <w:p w:rsidR="00E44DE5" w:rsidRPr="00387095" w:rsidRDefault="00E44DE5" w:rsidP="00743CEC">
            <w:pPr>
              <w:spacing w:after="0" w:line="240" w:lineRule="auto"/>
              <w:jc w:val="both"/>
              <w:rPr>
                <w:rFonts w:ascii="Arial Narrow" w:hAnsi="Arial Narrow"/>
                <w:sz w:val="24"/>
                <w:szCs w:val="24"/>
              </w:rPr>
            </w:pPr>
            <w:r w:rsidRPr="00387095">
              <w:rPr>
                <w:rFonts w:ascii="Arial Narrow" w:hAnsi="Arial Narrow"/>
                <w:sz w:val="24"/>
                <w:szCs w:val="24"/>
              </w:rPr>
              <w:t>£</w:t>
            </w:r>
            <w:r w:rsidR="00743CEC" w:rsidRPr="00387095">
              <w:rPr>
                <w:rFonts w:ascii="Arial Narrow" w:hAnsi="Arial Narrow"/>
                <w:sz w:val="24"/>
                <w:szCs w:val="24"/>
              </w:rPr>
              <w:t>12</w:t>
            </w:r>
            <w:r w:rsidRPr="00387095">
              <w:rPr>
                <w:rFonts w:ascii="Arial Narrow" w:hAnsi="Arial Narrow"/>
                <w:sz w:val="24"/>
                <w:szCs w:val="24"/>
              </w:rPr>
              <w:t>,</w:t>
            </w:r>
            <w:r w:rsidR="00743CEC" w:rsidRPr="00387095">
              <w:rPr>
                <w:rFonts w:ascii="Arial Narrow" w:hAnsi="Arial Narrow"/>
                <w:sz w:val="24"/>
                <w:szCs w:val="24"/>
              </w:rPr>
              <w:t>250</w:t>
            </w:r>
            <w:r w:rsidRPr="00387095">
              <w:rPr>
                <w:rFonts w:ascii="Arial Narrow" w:hAnsi="Arial Narrow"/>
                <w:sz w:val="24"/>
                <w:szCs w:val="24"/>
              </w:rPr>
              <w:t>,000</w:t>
            </w:r>
          </w:p>
        </w:tc>
      </w:tr>
      <w:tr w:rsidR="00E44DE5" w:rsidRPr="00387095" w:rsidTr="00B2054B">
        <w:tc>
          <w:tcPr>
            <w:tcW w:w="2303" w:type="dxa"/>
          </w:tcPr>
          <w:p w:rsidR="00E44DE5" w:rsidRPr="00387095" w:rsidRDefault="00E44DE5" w:rsidP="00B2054B">
            <w:pPr>
              <w:spacing w:after="0" w:line="240" w:lineRule="auto"/>
              <w:jc w:val="both"/>
              <w:rPr>
                <w:rFonts w:ascii="Arial Narrow" w:hAnsi="Arial Narrow"/>
                <w:b/>
                <w:bCs/>
                <w:sz w:val="24"/>
                <w:szCs w:val="24"/>
              </w:rPr>
            </w:pPr>
            <w:r w:rsidRPr="00387095">
              <w:rPr>
                <w:rFonts w:ascii="Arial Narrow" w:hAnsi="Arial Narrow"/>
                <w:bCs/>
                <w:sz w:val="24"/>
                <w:szCs w:val="24"/>
              </w:rPr>
              <w:t xml:space="preserve">Light industrial use </w:t>
            </w:r>
            <w:r w:rsidRPr="00387095">
              <w:rPr>
                <w:rFonts w:ascii="Arial Narrow" w:hAnsi="Arial Narrow"/>
                <w:bCs/>
                <w:sz w:val="16"/>
                <w:szCs w:val="16"/>
              </w:rPr>
              <w:t>(SIC 32)</w:t>
            </w:r>
          </w:p>
        </w:tc>
        <w:tc>
          <w:tcPr>
            <w:tcW w:w="2304" w:type="dxa"/>
          </w:tcPr>
          <w:p w:rsidR="00E44DE5" w:rsidRPr="00387095" w:rsidRDefault="00E44DE5" w:rsidP="00B2054B">
            <w:pPr>
              <w:spacing w:after="0" w:line="240" w:lineRule="auto"/>
              <w:jc w:val="both"/>
              <w:rPr>
                <w:rFonts w:ascii="Arial Narrow" w:hAnsi="Arial Narrow"/>
                <w:sz w:val="24"/>
                <w:szCs w:val="24"/>
              </w:rPr>
            </w:pPr>
            <w:r w:rsidRPr="00387095">
              <w:rPr>
                <w:rFonts w:ascii="Arial Narrow" w:hAnsi="Arial Narrow"/>
                <w:sz w:val="24"/>
                <w:szCs w:val="24"/>
              </w:rPr>
              <w:t>£</w:t>
            </w:r>
            <w:r w:rsidR="00743CEC" w:rsidRPr="00387095">
              <w:rPr>
                <w:rFonts w:ascii="Arial Narrow" w:hAnsi="Arial Narrow"/>
                <w:sz w:val="24"/>
                <w:szCs w:val="24"/>
              </w:rPr>
              <w:t>40</w:t>
            </w:r>
            <w:r w:rsidRPr="00387095">
              <w:rPr>
                <w:rFonts w:ascii="Arial Narrow" w:hAnsi="Arial Narrow"/>
                <w:sz w:val="24"/>
                <w:szCs w:val="24"/>
              </w:rPr>
              <w:t>,000</w:t>
            </w:r>
          </w:p>
        </w:tc>
        <w:tc>
          <w:tcPr>
            <w:tcW w:w="2303" w:type="dxa"/>
          </w:tcPr>
          <w:p w:rsidR="00E44DE5" w:rsidRPr="00387095" w:rsidRDefault="00E44DE5" w:rsidP="00B2054B">
            <w:pPr>
              <w:spacing w:after="0" w:line="240" w:lineRule="auto"/>
              <w:jc w:val="both"/>
              <w:rPr>
                <w:rFonts w:ascii="Arial Narrow" w:hAnsi="Arial Narrow"/>
                <w:sz w:val="24"/>
                <w:szCs w:val="24"/>
              </w:rPr>
            </w:pPr>
            <w:r w:rsidRPr="00387095">
              <w:rPr>
                <w:rFonts w:ascii="Arial Narrow" w:hAnsi="Arial Narrow"/>
                <w:sz w:val="24"/>
                <w:szCs w:val="24"/>
              </w:rPr>
              <w:t>213</w:t>
            </w:r>
          </w:p>
        </w:tc>
        <w:tc>
          <w:tcPr>
            <w:tcW w:w="2304" w:type="dxa"/>
          </w:tcPr>
          <w:p w:rsidR="00E44DE5" w:rsidRPr="00387095" w:rsidRDefault="00E44DE5" w:rsidP="00743CEC">
            <w:pPr>
              <w:spacing w:after="0" w:line="240" w:lineRule="auto"/>
              <w:jc w:val="both"/>
              <w:rPr>
                <w:rFonts w:ascii="Arial Narrow" w:hAnsi="Arial Narrow"/>
                <w:sz w:val="24"/>
                <w:szCs w:val="24"/>
              </w:rPr>
            </w:pPr>
            <w:r w:rsidRPr="00387095">
              <w:rPr>
                <w:rFonts w:ascii="Arial Narrow" w:hAnsi="Arial Narrow"/>
                <w:sz w:val="24"/>
                <w:szCs w:val="24"/>
              </w:rPr>
              <w:t>£</w:t>
            </w:r>
            <w:r w:rsidR="00743CEC" w:rsidRPr="00387095">
              <w:rPr>
                <w:rFonts w:ascii="Arial Narrow" w:hAnsi="Arial Narrow"/>
                <w:sz w:val="24"/>
                <w:szCs w:val="24"/>
              </w:rPr>
              <w:t>8,520</w:t>
            </w:r>
            <w:r w:rsidRPr="00387095">
              <w:rPr>
                <w:rFonts w:ascii="Arial Narrow" w:hAnsi="Arial Narrow"/>
                <w:sz w:val="24"/>
                <w:szCs w:val="24"/>
              </w:rPr>
              <w:t>,000</w:t>
            </w:r>
          </w:p>
        </w:tc>
      </w:tr>
      <w:tr w:rsidR="00E44DE5" w:rsidRPr="00387095" w:rsidTr="008B3197">
        <w:tblPrEx>
          <w:tblBorders>
            <w:top w:val="none" w:sz="0" w:space="0" w:color="auto"/>
            <w:bottom w:val="none" w:sz="0" w:space="0" w:color="auto"/>
          </w:tblBorders>
        </w:tblPrEx>
        <w:tc>
          <w:tcPr>
            <w:tcW w:w="2303" w:type="dxa"/>
          </w:tcPr>
          <w:p w:rsidR="00E44DE5" w:rsidRPr="00387095" w:rsidRDefault="00E44DE5" w:rsidP="00B2054B">
            <w:pPr>
              <w:spacing w:after="0" w:line="240" w:lineRule="auto"/>
              <w:jc w:val="both"/>
              <w:rPr>
                <w:rFonts w:ascii="Arial Narrow" w:hAnsi="Arial Narrow"/>
                <w:bCs/>
                <w:sz w:val="24"/>
                <w:szCs w:val="24"/>
              </w:rPr>
            </w:pPr>
            <w:r w:rsidRPr="00387095">
              <w:rPr>
                <w:rFonts w:ascii="Arial Narrow" w:hAnsi="Arial Narrow"/>
                <w:bCs/>
                <w:sz w:val="24"/>
                <w:szCs w:val="24"/>
              </w:rPr>
              <w:t>General warehousing</w:t>
            </w:r>
          </w:p>
          <w:p w:rsidR="00E44DE5" w:rsidRPr="00387095" w:rsidRDefault="00E44DE5" w:rsidP="00B2054B">
            <w:pPr>
              <w:spacing w:after="0" w:line="240" w:lineRule="auto"/>
              <w:jc w:val="both"/>
              <w:rPr>
                <w:rFonts w:ascii="Arial Narrow" w:hAnsi="Arial Narrow"/>
                <w:b/>
                <w:bCs/>
                <w:sz w:val="16"/>
                <w:szCs w:val="16"/>
              </w:rPr>
            </w:pPr>
            <w:r w:rsidRPr="00387095">
              <w:rPr>
                <w:rFonts w:ascii="Arial Narrow" w:hAnsi="Arial Narrow"/>
                <w:bCs/>
                <w:sz w:val="16"/>
                <w:szCs w:val="16"/>
              </w:rPr>
              <w:t>(SIC52)</w:t>
            </w:r>
          </w:p>
        </w:tc>
        <w:tc>
          <w:tcPr>
            <w:tcW w:w="2304" w:type="dxa"/>
          </w:tcPr>
          <w:p w:rsidR="00E44DE5" w:rsidRPr="00387095" w:rsidRDefault="00E44DE5" w:rsidP="00B2054B">
            <w:pPr>
              <w:spacing w:after="0" w:line="240" w:lineRule="auto"/>
              <w:jc w:val="both"/>
              <w:rPr>
                <w:rFonts w:ascii="Arial Narrow" w:hAnsi="Arial Narrow"/>
                <w:sz w:val="24"/>
                <w:szCs w:val="24"/>
              </w:rPr>
            </w:pPr>
            <w:r w:rsidRPr="00387095">
              <w:rPr>
                <w:rFonts w:ascii="Arial Narrow" w:hAnsi="Arial Narrow"/>
                <w:sz w:val="24"/>
                <w:szCs w:val="24"/>
              </w:rPr>
              <w:t>£</w:t>
            </w:r>
            <w:r w:rsidR="00743CEC" w:rsidRPr="00387095">
              <w:rPr>
                <w:rFonts w:ascii="Arial Narrow" w:hAnsi="Arial Narrow"/>
                <w:sz w:val="24"/>
                <w:szCs w:val="24"/>
              </w:rPr>
              <w:t>83</w:t>
            </w:r>
            <w:r w:rsidRPr="00387095">
              <w:rPr>
                <w:rFonts w:ascii="Arial Narrow" w:hAnsi="Arial Narrow"/>
                <w:sz w:val="24"/>
                <w:szCs w:val="24"/>
              </w:rPr>
              <w:t>,000</w:t>
            </w:r>
          </w:p>
        </w:tc>
        <w:tc>
          <w:tcPr>
            <w:tcW w:w="2303" w:type="dxa"/>
          </w:tcPr>
          <w:p w:rsidR="00E44DE5" w:rsidRPr="00387095" w:rsidRDefault="00E44DE5" w:rsidP="00B2054B">
            <w:pPr>
              <w:spacing w:after="0" w:line="240" w:lineRule="auto"/>
              <w:jc w:val="both"/>
              <w:rPr>
                <w:rFonts w:ascii="Arial Narrow" w:hAnsi="Arial Narrow"/>
                <w:sz w:val="24"/>
                <w:szCs w:val="24"/>
              </w:rPr>
            </w:pPr>
            <w:r w:rsidRPr="00387095">
              <w:rPr>
                <w:rFonts w:ascii="Arial Narrow" w:hAnsi="Arial Narrow"/>
                <w:sz w:val="24"/>
                <w:szCs w:val="24"/>
              </w:rPr>
              <w:t xml:space="preserve">107 </w:t>
            </w:r>
          </w:p>
        </w:tc>
        <w:tc>
          <w:tcPr>
            <w:tcW w:w="2304" w:type="dxa"/>
          </w:tcPr>
          <w:p w:rsidR="00E44DE5" w:rsidRPr="00387095" w:rsidRDefault="00E44DE5" w:rsidP="00743CEC">
            <w:pPr>
              <w:spacing w:after="0" w:line="240" w:lineRule="auto"/>
              <w:jc w:val="both"/>
              <w:rPr>
                <w:rFonts w:ascii="Arial Narrow" w:hAnsi="Arial Narrow"/>
                <w:sz w:val="24"/>
                <w:szCs w:val="24"/>
              </w:rPr>
            </w:pPr>
            <w:r w:rsidRPr="00387095">
              <w:rPr>
                <w:rFonts w:ascii="Arial Narrow" w:hAnsi="Arial Narrow"/>
                <w:sz w:val="24"/>
                <w:szCs w:val="24"/>
              </w:rPr>
              <w:t>£</w:t>
            </w:r>
            <w:r w:rsidR="00743CEC" w:rsidRPr="00387095">
              <w:rPr>
                <w:rFonts w:ascii="Arial Narrow" w:hAnsi="Arial Narrow"/>
                <w:sz w:val="24"/>
                <w:szCs w:val="24"/>
              </w:rPr>
              <w:t>8,881</w:t>
            </w:r>
            <w:r w:rsidRPr="00387095">
              <w:rPr>
                <w:rFonts w:ascii="Arial Narrow" w:hAnsi="Arial Narrow"/>
                <w:sz w:val="24"/>
                <w:szCs w:val="24"/>
              </w:rPr>
              <w:t>,000</w:t>
            </w:r>
          </w:p>
        </w:tc>
      </w:tr>
      <w:tr w:rsidR="00E44DE5" w:rsidRPr="00387095" w:rsidTr="00B2054B">
        <w:tc>
          <w:tcPr>
            <w:tcW w:w="2303" w:type="dxa"/>
            <w:tcBorders>
              <w:left w:val="nil"/>
              <w:bottom w:val="single" w:sz="8" w:space="0" w:color="4F81BD"/>
              <w:right w:val="nil"/>
            </w:tcBorders>
            <w:shd w:val="clear" w:color="auto" w:fill="D3DFEE"/>
          </w:tcPr>
          <w:p w:rsidR="00E44DE5" w:rsidRPr="00387095" w:rsidDel="00A274C7" w:rsidRDefault="00E44DE5" w:rsidP="00B2054B">
            <w:pPr>
              <w:spacing w:after="0" w:line="240" w:lineRule="auto"/>
              <w:jc w:val="both"/>
              <w:rPr>
                <w:rFonts w:ascii="Arial Narrow" w:hAnsi="Arial Narrow"/>
                <w:bCs/>
                <w:sz w:val="24"/>
                <w:szCs w:val="24"/>
              </w:rPr>
            </w:pPr>
            <w:r w:rsidRPr="00387095">
              <w:rPr>
                <w:rFonts w:ascii="Arial Narrow" w:hAnsi="Arial Narrow"/>
                <w:bCs/>
                <w:sz w:val="24"/>
                <w:szCs w:val="24"/>
              </w:rPr>
              <w:t>TOTAL</w:t>
            </w:r>
          </w:p>
        </w:tc>
        <w:tc>
          <w:tcPr>
            <w:tcW w:w="2304" w:type="dxa"/>
            <w:tcBorders>
              <w:left w:val="nil"/>
              <w:bottom w:val="single" w:sz="8" w:space="0" w:color="4F81BD"/>
              <w:right w:val="nil"/>
            </w:tcBorders>
            <w:shd w:val="clear" w:color="auto" w:fill="D3DFEE"/>
          </w:tcPr>
          <w:p w:rsidR="00E44DE5" w:rsidRPr="00387095" w:rsidRDefault="00E44DE5" w:rsidP="00B2054B">
            <w:pPr>
              <w:spacing w:after="0" w:line="240" w:lineRule="auto"/>
              <w:jc w:val="both"/>
              <w:rPr>
                <w:rFonts w:ascii="Arial Narrow" w:hAnsi="Arial Narrow"/>
                <w:sz w:val="24"/>
                <w:szCs w:val="24"/>
              </w:rPr>
            </w:pPr>
            <w:r w:rsidRPr="00387095">
              <w:rPr>
                <w:rFonts w:ascii="Arial Narrow" w:hAnsi="Arial Narrow"/>
                <w:sz w:val="24"/>
                <w:szCs w:val="24"/>
              </w:rPr>
              <w:t>N/A</w:t>
            </w:r>
          </w:p>
        </w:tc>
        <w:tc>
          <w:tcPr>
            <w:tcW w:w="2303" w:type="dxa"/>
            <w:tcBorders>
              <w:left w:val="nil"/>
              <w:bottom w:val="single" w:sz="8" w:space="0" w:color="4F81BD"/>
              <w:right w:val="nil"/>
            </w:tcBorders>
            <w:shd w:val="clear" w:color="auto" w:fill="D3DFEE"/>
          </w:tcPr>
          <w:p w:rsidR="00E44DE5" w:rsidRPr="00387095" w:rsidDel="00A274C7" w:rsidRDefault="00E44DE5" w:rsidP="00B2054B">
            <w:pPr>
              <w:spacing w:after="0" w:line="240" w:lineRule="auto"/>
              <w:jc w:val="both"/>
              <w:rPr>
                <w:rFonts w:ascii="Arial Narrow" w:hAnsi="Arial Narrow"/>
                <w:sz w:val="24"/>
                <w:szCs w:val="24"/>
              </w:rPr>
            </w:pPr>
            <w:r w:rsidRPr="00387095">
              <w:rPr>
                <w:rFonts w:ascii="Arial Narrow" w:hAnsi="Arial Narrow"/>
                <w:sz w:val="24"/>
                <w:szCs w:val="24"/>
              </w:rPr>
              <w:t>570</w:t>
            </w:r>
          </w:p>
        </w:tc>
        <w:tc>
          <w:tcPr>
            <w:tcW w:w="2304" w:type="dxa"/>
            <w:tcBorders>
              <w:left w:val="nil"/>
              <w:bottom w:val="single" w:sz="8" w:space="0" w:color="4F81BD"/>
              <w:right w:val="nil"/>
            </w:tcBorders>
            <w:shd w:val="clear" w:color="auto" w:fill="D3DFEE"/>
          </w:tcPr>
          <w:p w:rsidR="00E44DE5" w:rsidRPr="00387095" w:rsidRDefault="00E44DE5" w:rsidP="00743CEC">
            <w:pPr>
              <w:spacing w:after="0" w:line="240" w:lineRule="auto"/>
              <w:jc w:val="both"/>
              <w:rPr>
                <w:rFonts w:ascii="Arial Narrow" w:hAnsi="Arial Narrow"/>
                <w:sz w:val="24"/>
                <w:szCs w:val="24"/>
              </w:rPr>
            </w:pPr>
            <w:r w:rsidRPr="00387095">
              <w:rPr>
                <w:rFonts w:ascii="Arial Narrow" w:hAnsi="Arial Narrow"/>
                <w:sz w:val="24"/>
                <w:szCs w:val="24"/>
              </w:rPr>
              <w:t>£</w:t>
            </w:r>
            <w:r w:rsidR="00743CEC" w:rsidRPr="00387095">
              <w:rPr>
                <w:rFonts w:ascii="Arial Narrow" w:hAnsi="Arial Narrow"/>
                <w:sz w:val="24"/>
                <w:szCs w:val="24"/>
              </w:rPr>
              <w:t>29,651,000</w:t>
            </w:r>
          </w:p>
        </w:tc>
      </w:tr>
    </w:tbl>
    <w:p w:rsidR="00E44DE5" w:rsidRPr="00387095" w:rsidRDefault="00743CEC" w:rsidP="00BE1C7C">
      <w:pPr>
        <w:jc w:val="both"/>
        <w:rPr>
          <w:rFonts w:ascii="Arial Narrow" w:hAnsi="Arial Narrow"/>
          <w:sz w:val="16"/>
          <w:szCs w:val="16"/>
        </w:rPr>
      </w:pPr>
      <w:r w:rsidRPr="00387095">
        <w:rPr>
          <w:rFonts w:ascii="Arial Narrow" w:hAnsi="Arial Narrow"/>
          <w:b/>
          <w:sz w:val="16"/>
          <w:szCs w:val="16"/>
        </w:rPr>
        <w:t xml:space="preserve">Note: </w:t>
      </w:r>
      <w:r w:rsidRPr="00387095">
        <w:rPr>
          <w:rFonts w:ascii="Arial Narrow" w:hAnsi="Arial Narrow"/>
          <w:sz w:val="16"/>
          <w:szCs w:val="16"/>
        </w:rPr>
        <w:t>GVA per employee</w:t>
      </w:r>
      <w:r w:rsidR="00250C58" w:rsidRPr="00387095">
        <w:rPr>
          <w:rFonts w:ascii="Arial Narrow" w:hAnsi="Arial Narrow"/>
          <w:sz w:val="16"/>
          <w:szCs w:val="16"/>
        </w:rPr>
        <w:t xml:space="preserve"> </w:t>
      </w:r>
      <w:r w:rsidRPr="00387095">
        <w:rPr>
          <w:rFonts w:ascii="Arial Narrow" w:hAnsi="Arial Narrow"/>
          <w:sz w:val="16"/>
          <w:szCs w:val="16"/>
        </w:rPr>
        <w:t>figur</w:t>
      </w:r>
      <w:r w:rsidR="00250C58" w:rsidRPr="00387095">
        <w:rPr>
          <w:rFonts w:ascii="Arial Narrow" w:hAnsi="Arial Narrow"/>
          <w:sz w:val="16"/>
          <w:szCs w:val="16"/>
        </w:rPr>
        <w:t>e</w:t>
      </w:r>
      <w:r w:rsidRPr="00387095">
        <w:rPr>
          <w:rFonts w:ascii="Arial Narrow" w:hAnsi="Arial Narrow"/>
          <w:sz w:val="16"/>
          <w:szCs w:val="16"/>
        </w:rPr>
        <w:t>s are rounded.</w:t>
      </w:r>
    </w:p>
    <w:p w:rsidR="00FA0D42" w:rsidRDefault="00FA0D42" w:rsidP="00BE1C7C">
      <w:pPr>
        <w:jc w:val="both"/>
        <w:rPr>
          <w:rFonts w:ascii="Arial Narrow" w:hAnsi="Arial Narrow"/>
          <w:b/>
          <w:sz w:val="28"/>
          <w:szCs w:val="28"/>
        </w:rPr>
      </w:pPr>
    </w:p>
    <w:p w:rsidR="00E44DE5" w:rsidRPr="00387095" w:rsidRDefault="00E44DE5" w:rsidP="00BE1C7C">
      <w:pPr>
        <w:jc w:val="both"/>
        <w:rPr>
          <w:rFonts w:ascii="Arial Narrow" w:hAnsi="Arial Narrow"/>
          <w:b/>
          <w:sz w:val="28"/>
          <w:szCs w:val="28"/>
        </w:rPr>
      </w:pPr>
      <w:r w:rsidRPr="00387095">
        <w:rPr>
          <w:rFonts w:ascii="Arial Narrow" w:hAnsi="Arial Narrow"/>
          <w:b/>
          <w:sz w:val="28"/>
          <w:szCs w:val="28"/>
        </w:rPr>
        <w:lastRenderedPageBreak/>
        <w:t>Caveats</w:t>
      </w:r>
    </w:p>
    <w:p w:rsidR="00E44DE5" w:rsidRPr="00387095" w:rsidRDefault="00E44DE5" w:rsidP="00BE1C7C">
      <w:pPr>
        <w:jc w:val="both"/>
        <w:rPr>
          <w:rFonts w:ascii="Arial Narrow" w:hAnsi="Arial Narrow"/>
          <w:sz w:val="24"/>
          <w:szCs w:val="24"/>
        </w:rPr>
      </w:pPr>
      <w:r w:rsidRPr="00387095">
        <w:rPr>
          <w:rFonts w:ascii="Arial Narrow" w:hAnsi="Arial Narrow"/>
          <w:sz w:val="24"/>
          <w:szCs w:val="24"/>
        </w:rPr>
        <w:t>The approach outlined above needs to be heavily caveated:-</w:t>
      </w:r>
    </w:p>
    <w:p w:rsidR="00E44DE5" w:rsidRPr="00387095" w:rsidRDefault="00E44DE5" w:rsidP="00613566">
      <w:pPr>
        <w:numPr>
          <w:ilvl w:val="0"/>
          <w:numId w:val="6"/>
        </w:numPr>
        <w:jc w:val="both"/>
        <w:rPr>
          <w:rFonts w:ascii="Arial Narrow" w:hAnsi="Arial Narrow"/>
          <w:sz w:val="24"/>
          <w:szCs w:val="24"/>
        </w:rPr>
      </w:pPr>
      <w:r w:rsidRPr="00387095">
        <w:rPr>
          <w:rFonts w:ascii="Arial Narrow" w:hAnsi="Arial Narrow"/>
          <w:sz w:val="24"/>
          <w:szCs w:val="24"/>
        </w:rPr>
        <w:t>The figures are gross and make no allowance for the normal additionality adjustments, especially deadweight and displacement;</w:t>
      </w:r>
    </w:p>
    <w:p w:rsidR="00E44DE5" w:rsidRPr="00387095" w:rsidRDefault="00E44DE5" w:rsidP="00613566">
      <w:pPr>
        <w:numPr>
          <w:ilvl w:val="0"/>
          <w:numId w:val="6"/>
        </w:numPr>
        <w:jc w:val="both"/>
        <w:rPr>
          <w:rFonts w:ascii="Arial Narrow" w:hAnsi="Arial Narrow"/>
          <w:sz w:val="24"/>
          <w:szCs w:val="24"/>
        </w:rPr>
      </w:pPr>
      <w:r w:rsidRPr="00387095">
        <w:rPr>
          <w:rFonts w:ascii="Arial Narrow" w:hAnsi="Arial Narrow"/>
          <w:sz w:val="24"/>
          <w:szCs w:val="24"/>
        </w:rPr>
        <w:t xml:space="preserve">The figures are based on 100% occupancy </w:t>
      </w:r>
      <w:r w:rsidR="002256E8" w:rsidRPr="00387095">
        <w:rPr>
          <w:rFonts w:ascii="Arial Narrow" w:hAnsi="Arial Narrow"/>
          <w:sz w:val="24"/>
          <w:szCs w:val="24"/>
        </w:rPr>
        <w:t>levels which are</w:t>
      </w:r>
      <w:r w:rsidRPr="00387095">
        <w:rPr>
          <w:rFonts w:ascii="Arial Narrow" w:hAnsi="Arial Narrow"/>
          <w:sz w:val="24"/>
          <w:szCs w:val="24"/>
        </w:rPr>
        <w:t xml:space="preserve"> unlikely to be the case. </w:t>
      </w:r>
      <w:r w:rsidR="00E5602A">
        <w:rPr>
          <w:rFonts w:ascii="Arial Narrow" w:hAnsi="Arial Narrow"/>
          <w:sz w:val="24"/>
          <w:szCs w:val="24"/>
        </w:rPr>
        <w:t xml:space="preserve"> </w:t>
      </w:r>
      <w:r w:rsidRPr="00387095">
        <w:rPr>
          <w:rFonts w:ascii="Arial Narrow" w:hAnsi="Arial Narrow"/>
          <w:sz w:val="24"/>
          <w:szCs w:val="24"/>
        </w:rPr>
        <w:t xml:space="preserve">For smaller units the vacancy rate is likely to be higher than for larger units. </w:t>
      </w:r>
      <w:r w:rsidR="00E5602A">
        <w:rPr>
          <w:rFonts w:ascii="Arial Narrow" w:hAnsi="Arial Narrow"/>
          <w:sz w:val="24"/>
          <w:szCs w:val="24"/>
        </w:rPr>
        <w:t xml:space="preserve"> </w:t>
      </w:r>
      <w:r w:rsidRPr="00387095">
        <w:rPr>
          <w:rFonts w:ascii="Arial Narrow" w:hAnsi="Arial Narrow"/>
          <w:sz w:val="24"/>
          <w:szCs w:val="24"/>
        </w:rPr>
        <w:t xml:space="preserve">These rates are also likely to vary according to local property market conditions. </w:t>
      </w:r>
      <w:r w:rsidR="00E5602A">
        <w:rPr>
          <w:rFonts w:ascii="Arial Narrow" w:hAnsi="Arial Narrow"/>
          <w:sz w:val="24"/>
          <w:szCs w:val="24"/>
        </w:rPr>
        <w:t xml:space="preserve"> </w:t>
      </w:r>
      <w:r w:rsidRPr="00387095">
        <w:rPr>
          <w:rFonts w:ascii="Arial Narrow" w:hAnsi="Arial Narrow"/>
          <w:sz w:val="24"/>
          <w:szCs w:val="24"/>
        </w:rPr>
        <w:t xml:space="preserve">Given this, if vacancy rates </w:t>
      </w:r>
      <w:r w:rsidR="007A5AD5" w:rsidRPr="00387095">
        <w:rPr>
          <w:rFonts w:ascii="Arial Narrow" w:hAnsi="Arial Narrow"/>
          <w:sz w:val="24"/>
          <w:szCs w:val="24"/>
        </w:rPr>
        <w:t xml:space="preserve">need </w:t>
      </w:r>
      <w:r w:rsidRPr="00387095">
        <w:rPr>
          <w:rFonts w:ascii="Arial Narrow" w:hAnsi="Arial Narrow"/>
          <w:sz w:val="24"/>
          <w:szCs w:val="24"/>
        </w:rPr>
        <w:t>to be factored in it may be best to seek guidance from property specialists; and</w:t>
      </w:r>
    </w:p>
    <w:p w:rsidR="00E44DE5" w:rsidRPr="00387095" w:rsidRDefault="00E44DE5" w:rsidP="00CD1F82">
      <w:pPr>
        <w:numPr>
          <w:ilvl w:val="0"/>
          <w:numId w:val="6"/>
        </w:numPr>
        <w:jc w:val="both"/>
        <w:rPr>
          <w:rFonts w:ascii="Arial Narrow" w:hAnsi="Arial Narrow"/>
          <w:sz w:val="24"/>
          <w:szCs w:val="24"/>
        </w:rPr>
      </w:pPr>
      <w:r w:rsidRPr="00387095">
        <w:rPr>
          <w:rFonts w:ascii="Arial Narrow" w:hAnsi="Arial Narrow"/>
          <w:sz w:val="24"/>
          <w:szCs w:val="24"/>
        </w:rPr>
        <w:t>The data used is very general (Business Park, General Industrial Use, for example) as is the GVA data</w:t>
      </w:r>
      <w:r w:rsidR="007A5AD5" w:rsidRPr="00387095">
        <w:rPr>
          <w:rFonts w:ascii="Arial Narrow" w:hAnsi="Arial Narrow"/>
          <w:sz w:val="24"/>
          <w:szCs w:val="24"/>
        </w:rPr>
        <w:t xml:space="preserve"> (unless better evidence is available)</w:t>
      </w:r>
      <w:r w:rsidRPr="00387095">
        <w:rPr>
          <w:rFonts w:ascii="Arial Narrow" w:hAnsi="Arial Narrow"/>
          <w:sz w:val="24"/>
          <w:szCs w:val="24"/>
        </w:rPr>
        <w:t xml:space="preserve">. </w:t>
      </w:r>
      <w:r w:rsidR="00E5602A">
        <w:rPr>
          <w:rFonts w:ascii="Arial Narrow" w:hAnsi="Arial Narrow"/>
          <w:sz w:val="24"/>
          <w:szCs w:val="24"/>
        </w:rPr>
        <w:t xml:space="preserve"> </w:t>
      </w:r>
      <w:r w:rsidRPr="00387095">
        <w:rPr>
          <w:rFonts w:ascii="Arial Narrow" w:hAnsi="Arial Narrow"/>
          <w:sz w:val="24"/>
          <w:szCs w:val="24"/>
        </w:rPr>
        <w:t>Thus the estimates of both employment and GVA may deviate significantly from the actual figures once actual end users can be identified.</w:t>
      </w:r>
    </w:p>
    <w:p w:rsidR="00E44DE5" w:rsidRPr="00387095" w:rsidRDefault="00E44DE5" w:rsidP="00BE1C7C">
      <w:pPr>
        <w:jc w:val="both"/>
        <w:rPr>
          <w:rFonts w:ascii="Arial Narrow" w:hAnsi="Arial Narrow"/>
          <w:sz w:val="24"/>
          <w:szCs w:val="24"/>
        </w:rPr>
      </w:pPr>
      <w:r w:rsidRPr="00387095">
        <w:rPr>
          <w:rFonts w:ascii="Arial Narrow" w:hAnsi="Arial Narrow"/>
          <w:sz w:val="24"/>
          <w:szCs w:val="24"/>
        </w:rPr>
        <w:t>Given these factors any impacts estimated using employee densities should be heavily caveated.</w:t>
      </w:r>
    </w:p>
    <w:p w:rsidR="00E44DE5" w:rsidRPr="00387095" w:rsidRDefault="00E44DE5" w:rsidP="00BE1C7C">
      <w:pPr>
        <w:jc w:val="both"/>
        <w:rPr>
          <w:rFonts w:ascii="Arial Narrow" w:hAnsi="Arial Narrow"/>
          <w:b/>
          <w:sz w:val="28"/>
          <w:szCs w:val="28"/>
        </w:rPr>
      </w:pPr>
      <w:r w:rsidRPr="00387095">
        <w:rPr>
          <w:rFonts w:ascii="Arial Narrow" w:hAnsi="Arial Narrow"/>
          <w:b/>
          <w:sz w:val="28"/>
          <w:szCs w:val="28"/>
        </w:rPr>
        <w:t>How is floorspace defined?</w:t>
      </w:r>
    </w:p>
    <w:p w:rsidR="00E44DE5" w:rsidRPr="00387095" w:rsidRDefault="00E44DE5" w:rsidP="00BE1C7C">
      <w:pPr>
        <w:jc w:val="both"/>
        <w:rPr>
          <w:rFonts w:ascii="Arial Narrow" w:hAnsi="Arial Narrow"/>
          <w:sz w:val="24"/>
          <w:szCs w:val="24"/>
        </w:rPr>
      </w:pPr>
      <w:r w:rsidRPr="00387095">
        <w:rPr>
          <w:rFonts w:ascii="Arial Narrow" w:hAnsi="Arial Narrow"/>
          <w:sz w:val="24"/>
          <w:szCs w:val="24"/>
        </w:rPr>
        <w:t xml:space="preserve">When calculating gross employment, different types of end use/industrial classifications apply different floorspace areas, including:-: </w:t>
      </w:r>
    </w:p>
    <w:p w:rsidR="00E44DE5" w:rsidRPr="00387095" w:rsidRDefault="00E44DE5" w:rsidP="00BE1C7C">
      <w:pPr>
        <w:pStyle w:val="ListParagraph"/>
        <w:numPr>
          <w:ilvl w:val="0"/>
          <w:numId w:val="4"/>
        </w:numPr>
        <w:jc w:val="both"/>
        <w:rPr>
          <w:rFonts w:ascii="Arial Narrow" w:hAnsi="Arial Narrow"/>
          <w:sz w:val="24"/>
          <w:szCs w:val="24"/>
        </w:rPr>
      </w:pPr>
      <w:r w:rsidRPr="00387095">
        <w:rPr>
          <w:rFonts w:ascii="Arial Narrow" w:hAnsi="Arial Narrow"/>
          <w:sz w:val="24"/>
          <w:szCs w:val="24"/>
        </w:rPr>
        <w:t>Gross External Area (GEA) - the area of a building measured externally at each floor level;</w:t>
      </w:r>
    </w:p>
    <w:p w:rsidR="00E44DE5" w:rsidRPr="00387095" w:rsidRDefault="00E44DE5" w:rsidP="00BE1C7C">
      <w:pPr>
        <w:pStyle w:val="ListParagraph"/>
        <w:numPr>
          <w:ilvl w:val="0"/>
          <w:numId w:val="4"/>
        </w:numPr>
        <w:jc w:val="both"/>
        <w:rPr>
          <w:rFonts w:ascii="Arial Narrow" w:hAnsi="Arial Narrow"/>
          <w:sz w:val="24"/>
          <w:szCs w:val="24"/>
        </w:rPr>
      </w:pPr>
      <w:r w:rsidRPr="00387095">
        <w:rPr>
          <w:rFonts w:ascii="Arial Narrow" w:hAnsi="Arial Narrow"/>
          <w:sz w:val="24"/>
          <w:szCs w:val="24"/>
        </w:rPr>
        <w:t>Gross Internal Area (GIA) - the area of a building measured to the internal face of the perimeter walls at each floor level; and</w:t>
      </w:r>
    </w:p>
    <w:p w:rsidR="00E44DE5" w:rsidRPr="00387095" w:rsidRDefault="00E44DE5" w:rsidP="00BE1C7C">
      <w:pPr>
        <w:pStyle w:val="ListParagraph"/>
        <w:numPr>
          <w:ilvl w:val="0"/>
          <w:numId w:val="4"/>
        </w:numPr>
        <w:jc w:val="both"/>
        <w:rPr>
          <w:rFonts w:ascii="Arial Narrow" w:hAnsi="Arial Narrow"/>
          <w:sz w:val="24"/>
          <w:szCs w:val="24"/>
        </w:rPr>
      </w:pPr>
      <w:r w:rsidRPr="00387095">
        <w:rPr>
          <w:rFonts w:ascii="Arial Narrow" w:hAnsi="Arial Narrow"/>
          <w:sz w:val="24"/>
          <w:szCs w:val="24"/>
        </w:rPr>
        <w:t xml:space="preserve">Net Internal Area (NIA) – the </w:t>
      </w:r>
      <w:r w:rsidRPr="00387095">
        <w:rPr>
          <w:rFonts w:ascii="Arial Narrow" w:hAnsi="Arial Narrow"/>
          <w:b/>
          <w:sz w:val="24"/>
          <w:szCs w:val="24"/>
          <w:u w:val="single"/>
        </w:rPr>
        <w:t xml:space="preserve">usable </w:t>
      </w:r>
      <w:r w:rsidRPr="00387095">
        <w:rPr>
          <w:rFonts w:ascii="Arial Narrow" w:hAnsi="Arial Narrow"/>
          <w:sz w:val="24"/>
          <w:szCs w:val="24"/>
        </w:rPr>
        <w:t>area within a building measured to the internal face of the perimeter walls at each floor level. This includes such communal space as kitchens and entrance halls.</w:t>
      </w:r>
    </w:p>
    <w:p w:rsidR="00E44DE5" w:rsidRPr="00387095" w:rsidRDefault="00E44DE5" w:rsidP="00BE1C7C">
      <w:pPr>
        <w:jc w:val="both"/>
        <w:rPr>
          <w:rFonts w:ascii="Arial Narrow" w:hAnsi="Arial Narrow"/>
          <w:sz w:val="24"/>
          <w:szCs w:val="24"/>
        </w:rPr>
      </w:pPr>
      <w:r w:rsidRPr="00387095">
        <w:rPr>
          <w:rFonts w:ascii="Arial Narrow" w:hAnsi="Arial Narrow"/>
          <w:sz w:val="24"/>
          <w:szCs w:val="24"/>
        </w:rPr>
        <w:t xml:space="preserve">The </w:t>
      </w:r>
      <w:r w:rsidRPr="00387095">
        <w:rPr>
          <w:rFonts w:ascii="Arial Narrow" w:hAnsi="Arial Narrow"/>
          <w:b/>
          <w:i/>
          <w:sz w:val="24"/>
          <w:szCs w:val="24"/>
        </w:rPr>
        <w:t xml:space="preserve">Employment Densities Guide </w:t>
      </w:r>
      <w:r w:rsidRPr="00387095">
        <w:rPr>
          <w:rFonts w:ascii="Arial Narrow" w:hAnsi="Arial Narrow"/>
          <w:sz w:val="24"/>
          <w:szCs w:val="24"/>
        </w:rPr>
        <w:t xml:space="preserve">provides more detail on each of these and guidance on which is the appropriate floorspace area to apply. </w:t>
      </w:r>
      <w:r w:rsidR="00FA0D42">
        <w:rPr>
          <w:rFonts w:ascii="Arial Narrow" w:hAnsi="Arial Narrow"/>
          <w:sz w:val="24"/>
          <w:szCs w:val="24"/>
        </w:rPr>
        <w:t xml:space="preserve"> </w:t>
      </w:r>
      <w:r w:rsidRPr="00387095">
        <w:rPr>
          <w:rFonts w:ascii="Arial Narrow" w:hAnsi="Arial Narrow"/>
          <w:sz w:val="24"/>
          <w:szCs w:val="24"/>
        </w:rPr>
        <w:t xml:space="preserve">Care therefore needs to be taken that the relevant floorspace area is used when making the impact estimates.  </w:t>
      </w:r>
    </w:p>
    <w:p w:rsidR="00E44DE5" w:rsidRPr="00387095" w:rsidRDefault="00E44DE5" w:rsidP="00BE1C7C">
      <w:pPr>
        <w:jc w:val="both"/>
        <w:rPr>
          <w:rFonts w:ascii="Arial Narrow" w:hAnsi="Arial Narrow"/>
          <w:b/>
          <w:sz w:val="28"/>
          <w:szCs w:val="28"/>
        </w:rPr>
      </w:pPr>
      <w:r w:rsidRPr="00387095">
        <w:rPr>
          <w:rFonts w:ascii="Arial Narrow" w:hAnsi="Arial Narrow"/>
          <w:b/>
          <w:sz w:val="28"/>
          <w:szCs w:val="28"/>
        </w:rPr>
        <w:t>Hotels and other accommodation</w:t>
      </w:r>
    </w:p>
    <w:p w:rsidR="00E44DE5" w:rsidRPr="00387095" w:rsidRDefault="00E44DE5" w:rsidP="00BE1C7C">
      <w:pPr>
        <w:jc w:val="both"/>
        <w:rPr>
          <w:rFonts w:ascii="Arial Narrow" w:hAnsi="Arial Narrow"/>
          <w:sz w:val="24"/>
          <w:szCs w:val="24"/>
        </w:rPr>
      </w:pPr>
      <w:r w:rsidRPr="00387095">
        <w:rPr>
          <w:rFonts w:ascii="Arial Narrow" w:hAnsi="Arial Narrow"/>
          <w:sz w:val="24"/>
          <w:szCs w:val="24"/>
        </w:rPr>
        <w:t xml:space="preserve">For hotels and other accommodation employment density is based on the number of rooms and star rating of the accommodation. </w:t>
      </w:r>
      <w:r w:rsidR="00E5602A">
        <w:rPr>
          <w:rFonts w:ascii="Arial Narrow" w:hAnsi="Arial Narrow"/>
          <w:sz w:val="24"/>
          <w:szCs w:val="24"/>
        </w:rPr>
        <w:t xml:space="preserve"> </w:t>
      </w:r>
      <w:r w:rsidRPr="00387095">
        <w:rPr>
          <w:rFonts w:ascii="Arial Narrow" w:hAnsi="Arial Narrow"/>
          <w:sz w:val="24"/>
          <w:szCs w:val="24"/>
        </w:rPr>
        <w:t xml:space="preserve">Again further detail is provided in the </w:t>
      </w:r>
      <w:r w:rsidRPr="00387095">
        <w:rPr>
          <w:rFonts w:ascii="Arial Narrow" w:hAnsi="Arial Narrow"/>
          <w:b/>
          <w:i/>
          <w:sz w:val="24"/>
          <w:szCs w:val="24"/>
        </w:rPr>
        <w:t>Employment Densities Guide</w:t>
      </w:r>
      <w:r w:rsidRPr="00387095">
        <w:rPr>
          <w:rFonts w:ascii="Arial Narrow" w:hAnsi="Arial Narrow"/>
          <w:sz w:val="24"/>
          <w:szCs w:val="24"/>
        </w:rPr>
        <w:t>.</w:t>
      </w:r>
    </w:p>
    <w:p w:rsidR="00E44DE5" w:rsidRPr="00387095" w:rsidRDefault="00E44DE5" w:rsidP="00CD1F82">
      <w:pPr>
        <w:jc w:val="both"/>
        <w:rPr>
          <w:rFonts w:ascii="Arial Narrow" w:hAnsi="Arial Narrow"/>
          <w:sz w:val="24"/>
          <w:szCs w:val="24"/>
        </w:rPr>
      </w:pPr>
      <w:r w:rsidRPr="00387095">
        <w:rPr>
          <w:rFonts w:ascii="Arial Narrow" w:hAnsi="Arial Narrow"/>
          <w:sz w:val="24"/>
          <w:szCs w:val="24"/>
        </w:rPr>
        <w:t>Other useful information and links</w:t>
      </w:r>
    </w:p>
    <w:p w:rsidR="00E44DE5" w:rsidRPr="00387095" w:rsidRDefault="00E44DE5" w:rsidP="00CD1F82">
      <w:pPr>
        <w:jc w:val="both"/>
        <w:rPr>
          <w:rFonts w:ascii="Arial Narrow" w:hAnsi="Arial Narrow"/>
          <w:sz w:val="24"/>
          <w:szCs w:val="24"/>
        </w:rPr>
      </w:pPr>
      <w:r w:rsidRPr="00387095">
        <w:rPr>
          <w:rFonts w:ascii="Arial Narrow" w:hAnsi="Arial Narrow"/>
          <w:b/>
          <w:i/>
          <w:sz w:val="24"/>
          <w:szCs w:val="24"/>
        </w:rPr>
        <w:t>Employment Densities Guide, 2</w:t>
      </w:r>
      <w:r w:rsidRPr="00387095">
        <w:rPr>
          <w:rFonts w:ascii="Arial Narrow" w:hAnsi="Arial Narrow"/>
          <w:b/>
          <w:i/>
          <w:sz w:val="24"/>
          <w:szCs w:val="24"/>
          <w:vertAlign w:val="superscript"/>
        </w:rPr>
        <w:t>nd</w:t>
      </w:r>
      <w:r w:rsidRPr="00387095">
        <w:rPr>
          <w:rFonts w:ascii="Arial Narrow" w:hAnsi="Arial Narrow"/>
          <w:b/>
          <w:i/>
          <w:sz w:val="24"/>
          <w:szCs w:val="24"/>
        </w:rPr>
        <w:t xml:space="preserve"> Edition, 2010</w:t>
      </w:r>
      <w:r w:rsidRPr="00387095">
        <w:rPr>
          <w:rFonts w:ascii="Arial Narrow" w:hAnsi="Arial Narrow"/>
          <w:sz w:val="24"/>
          <w:szCs w:val="24"/>
        </w:rPr>
        <w:t xml:space="preserve"> (OffPAT and Homes and Communities Agency)</w:t>
      </w:r>
    </w:p>
    <w:p w:rsidR="00E44DE5" w:rsidRPr="00387095" w:rsidRDefault="00AE64DD" w:rsidP="00CD1F82">
      <w:pPr>
        <w:jc w:val="both"/>
        <w:rPr>
          <w:rFonts w:ascii="Arial Narrow" w:hAnsi="Arial Narrow"/>
          <w:sz w:val="24"/>
          <w:szCs w:val="24"/>
        </w:rPr>
      </w:pPr>
      <w:hyperlink r:id="rId8" w:history="1">
        <w:r w:rsidR="00E44DE5" w:rsidRPr="00387095">
          <w:rPr>
            <w:rStyle w:val="Hyperlink"/>
            <w:rFonts w:ascii="Arial Narrow" w:hAnsi="Arial Narrow"/>
            <w:sz w:val="24"/>
            <w:szCs w:val="24"/>
          </w:rPr>
          <w:t>http://www.homesandcommunities.co.uk/employment-densities-guide-2nd-ed</w:t>
        </w:r>
      </w:hyperlink>
    </w:p>
    <w:p w:rsidR="00E44DE5" w:rsidRPr="00387095" w:rsidRDefault="00E44DE5" w:rsidP="00CD1F82">
      <w:pPr>
        <w:jc w:val="both"/>
        <w:rPr>
          <w:rFonts w:ascii="Arial Narrow" w:hAnsi="Arial Narrow"/>
          <w:b/>
          <w:sz w:val="24"/>
          <w:szCs w:val="24"/>
        </w:rPr>
      </w:pPr>
      <w:r w:rsidRPr="00387095">
        <w:rPr>
          <w:rFonts w:ascii="Arial Narrow" w:hAnsi="Arial Narrow"/>
          <w:b/>
          <w:sz w:val="24"/>
          <w:szCs w:val="24"/>
        </w:rPr>
        <w:t>Converting square feet to square metre’s</w:t>
      </w:r>
    </w:p>
    <w:p w:rsidR="00E44DE5" w:rsidRPr="00387095" w:rsidRDefault="00AE64DD" w:rsidP="00DB020B">
      <w:pPr>
        <w:jc w:val="both"/>
        <w:rPr>
          <w:rFonts w:ascii="Arial Narrow" w:hAnsi="Arial Narrow"/>
          <w:sz w:val="24"/>
          <w:szCs w:val="24"/>
        </w:rPr>
      </w:pPr>
      <w:hyperlink r:id="rId9" w:history="1">
        <w:r w:rsidR="00E44DE5" w:rsidRPr="00387095">
          <w:rPr>
            <w:rStyle w:val="Hyperlink"/>
            <w:rFonts w:ascii="Arial Narrow" w:hAnsi="Arial Narrow"/>
            <w:sz w:val="24"/>
            <w:szCs w:val="24"/>
          </w:rPr>
          <w:t>http://www.metric-conversions.org/area/square-feet-to-square-meters.htm</w:t>
        </w:r>
      </w:hyperlink>
      <w:r w:rsidR="00E44DE5" w:rsidRPr="00387095">
        <w:rPr>
          <w:rFonts w:ascii="Arial Narrow" w:hAnsi="Arial Narrow"/>
          <w:b/>
          <w:sz w:val="24"/>
          <w:szCs w:val="24"/>
        </w:rPr>
        <w:t xml:space="preserve"> </w:t>
      </w:r>
    </w:p>
    <w:p w:rsidR="00E44DE5" w:rsidRPr="00387095" w:rsidRDefault="00E44DE5" w:rsidP="00DB020B">
      <w:pPr>
        <w:jc w:val="both"/>
        <w:rPr>
          <w:rFonts w:ascii="Arial Narrow" w:hAnsi="Arial Narrow"/>
          <w:b/>
          <w:sz w:val="28"/>
          <w:szCs w:val="28"/>
        </w:rPr>
      </w:pPr>
      <w:r w:rsidRPr="00387095">
        <w:rPr>
          <w:rFonts w:ascii="Arial Narrow" w:hAnsi="Arial Narrow"/>
          <w:b/>
          <w:sz w:val="28"/>
          <w:szCs w:val="28"/>
        </w:rPr>
        <w:lastRenderedPageBreak/>
        <w:t>Need more help?</w:t>
      </w:r>
    </w:p>
    <w:p w:rsidR="00E44DE5" w:rsidRPr="00387095" w:rsidRDefault="00E44DE5" w:rsidP="00DB020B">
      <w:pPr>
        <w:jc w:val="both"/>
        <w:rPr>
          <w:rFonts w:ascii="Arial Narrow" w:hAnsi="Arial Narrow"/>
          <w:sz w:val="24"/>
          <w:szCs w:val="24"/>
        </w:rPr>
      </w:pPr>
      <w:r w:rsidRPr="00387095">
        <w:rPr>
          <w:rFonts w:ascii="Arial Narrow" w:hAnsi="Arial Narrow"/>
          <w:sz w:val="24"/>
          <w:szCs w:val="24"/>
        </w:rPr>
        <w:t>For further information contact:-</w:t>
      </w:r>
    </w:p>
    <w:p w:rsidR="00E44DE5" w:rsidRPr="00387095" w:rsidRDefault="00E44DE5" w:rsidP="00DB020B">
      <w:pPr>
        <w:jc w:val="both"/>
        <w:rPr>
          <w:rFonts w:ascii="Arial Narrow" w:hAnsi="Arial Narrow"/>
          <w:sz w:val="24"/>
          <w:szCs w:val="24"/>
        </w:rPr>
      </w:pPr>
      <w:r w:rsidRPr="00387095">
        <w:rPr>
          <w:rFonts w:ascii="Arial Narrow" w:hAnsi="Arial Narrow"/>
          <w:sz w:val="24"/>
          <w:szCs w:val="24"/>
        </w:rPr>
        <w:t>Suzanne Fleming, 0141-228-2062</w:t>
      </w:r>
    </w:p>
    <w:p w:rsidR="00E44DE5" w:rsidRPr="00387095" w:rsidRDefault="00AE64DD" w:rsidP="00DB020B">
      <w:pPr>
        <w:jc w:val="both"/>
        <w:rPr>
          <w:rFonts w:ascii="Arial Narrow" w:hAnsi="Arial Narrow"/>
          <w:sz w:val="24"/>
          <w:szCs w:val="24"/>
        </w:rPr>
      </w:pPr>
      <w:hyperlink r:id="rId10" w:history="1">
        <w:r w:rsidR="00E44DE5" w:rsidRPr="00387095">
          <w:rPr>
            <w:rStyle w:val="Hyperlink"/>
            <w:rFonts w:ascii="Arial Narrow" w:hAnsi="Arial Narrow"/>
            <w:sz w:val="24"/>
            <w:szCs w:val="24"/>
          </w:rPr>
          <w:t>Suzanne.fleming@scotent.co.uk</w:t>
        </w:r>
      </w:hyperlink>
    </w:p>
    <w:p w:rsidR="00E44DE5" w:rsidRPr="00387095" w:rsidRDefault="00E44DE5" w:rsidP="00BE1C7C">
      <w:pPr>
        <w:jc w:val="both"/>
        <w:rPr>
          <w:rFonts w:ascii="Arial Narrow" w:hAnsi="Arial Narrow"/>
          <w:sz w:val="24"/>
          <w:szCs w:val="24"/>
        </w:rPr>
      </w:pPr>
    </w:p>
    <w:sectPr w:rsidR="00E44DE5" w:rsidRPr="00387095" w:rsidSect="002E513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D42" w:rsidRDefault="00FA0D42">
      <w:r>
        <w:separator/>
      </w:r>
    </w:p>
  </w:endnote>
  <w:endnote w:type="continuationSeparator" w:id="0">
    <w:p w:rsidR="00FA0D42" w:rsidRDefault="00FA0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D42" w:rsidRDefault="00FA0D42">
    <w:pPr>
      <w:pStyle w:val="Footer"/>
      <w:pBdr>
        <w:top w:val="thinThickSmallGap" w:sz="24" w:space="1" w:color="622423" w:themeColor="accent2" w:themeShade="7F"/>
      </w:pBdr>
      <w:rPr>
        <w:rFonts w:asciiTheme="majorHAnsi" w:hAnsiTheme="majorHAnsi"/>
      </w:rPr>
    </w:pPr>
    <w:r w:rsidRPr="004C3379">
      <w:rPr>
        <w:rFonts w:ascii="Arial Narrow" w:hAnsi="Arial Narrow"/>
        <w:i/>
        <w:sz w:val="16"/>
        <w:szCs w:val="16"/>
      </w:rPr>
      <w:t>January 2014</w:t>
    </w:r>
    <w:r w:rsidRPr="004C3379">
      <w:rPr>
        <w:rFonts w:ascii="Arial Narrow" w:hAnsi="Arial Narrow"/>
        <w:i/>
        <w:sz w:val="16"/>
        <w:szCs w:val="16"/>
      </w:rPr>
      <w:ptab w:relativeTo="margin" w:alignment="right" w:leader="none"/>
    </w:r>
    <w:fldSimple w:instr=" PAGE   \* MERGEFORMAT ">
      <w:r w:rsidR="002256E8" w:rsidRPr="002256E8">
        <w:rPr>
          <w:rFonts w:asciiTheme="majorHAnsi" w:hAnsiTheme="majorHAnsi"/>
          <w:noProof/>
        </w:rPr>
        <w:t>1</w:t>
      </w:r>
    </w:fldSimple>
  </w:p>
  <w:p w:rsidR="00FA0D42" w:rsidRDefault="00FA0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D42" w:rsidRDefault="00FA0D42">
      <w:r>
        <w:separator/>
      </w:r>
    </w:p>
  </w:footnote>
  <w:footnote w:type="continuationSeparator" w:id="0">
    <w:p w:rsidR="00FA0D42" w:rsidRDefault="00FA0D42">
      <w:r>
        <w:continuationSeparator/>
      </w:r>
    </w:p>
  </w:footnote>
  <w:footnote w:id="1">
    <w:p w:rsidR="00FA0D42" w:rsidRDefault="00FA0D42">
      <w:pPr>
        <w:pStyle w:val="FootnoteText"/>
      </w:pPr>
      <w:r>
        <w:rPr>
          <w:rStyle w:val="FootnoteReference"/>
        </w:rPr>
        <w:footnoteRef/>
      </w:r>
      <w:r>
        <w:t xml:space="preserve"> </w:t>
      </w:r>
      <w:r w:rsidRPr="007A5AD5">
        <w:t>http://www.researchonline.org.uk/sds/search/go.do?action=addToReadingList&amp;docFlag=true&amp;ref=B18509</w:t>
      </w:r>
    </w:p>
  </w:footnote>
  <w:footnote w:id="2">
    <w:p w:rsidR="00FA0D42" w:rsidRDefault="00FA0D42" w:rsidP="00613566">
      <w:pPr>
        <w:pStyle w:val="FootnoteText"/>
        <w:jc w:val="both"/>
      </w:pPr>
      <w:r w:rsidRPr="00613566">
        <w:rPr>
          <w:rStyle w:val="FootnoteReference"/>
          <w:rFonts w:ascii="Arial Narrow" w:hAnsi="Arial Narrow"/>
          <w:sz w:val="16"/>
          <w:szCs w:val="16"/>
        </w:rPr>
        <w:footnoteRef/>
      </w:r>
      <w:r w:rsidRPr="00613566">
        <w:rPr>
          <w:rFonts w:ascii="Arial Narrow" w:hAnsi="Arial Narrow"/>
          <w:sz w:val="16"/>
          <w:szCs w:val="16"/>
        </w:rPr>
        <w:t xml:space="preserve">  These figures were derived from company specific data (on employment and site areas) for a small number of companies involved in fabrication of offshore renewable generating equipment.</w:t>
      </w:r>
    </w:p>
  </w:footnote>
  <w:footnote w:id="3">
    <w:p w:rsidR="00FA0D42" w:rsidRDefault="00FA0D42" w:rsidP="00613566">
      <w:pPr>
        <w:pStyle w:val="FootnoteText"/>
        <w:jc w:val="both"/>
      </w:pPr>
      <w:r w:rsidRPr="00613566">
        <w:rPr>
          <w:rStyle w:val="FootnoteReference"/>
          <w:rFonts w:ascii="Arial Narrow" w:hAnsi="Arial Narrow"/>
          <w:sz w:val="16"/>
          <w:szCs w:val="16"/>
        </w:rPr>
        <w:footnoteRef/>
      </w:r>
      <w:r w:rsidRPr="00613566">
        <w:rPr>
          <w:rFonts w:ascii="Arial Narrow" w:hAnsi="Arial Narrow"/>
          <w:sz w:val="16"/>
          <w:szCs w:val="16"/>
        </w:rPr>
        <w:t xml:space="preserve"> </w:t>
      </w:r>
      <w:r>
        <w:rPr>
          <w:rFonts w:ascii="Arial Narrow" w:hAnsi="Arial Narrow"/>
          <w:sz w:val="16"/>
          <w:szCs w:val="16"/>
        </w:rPr>
        <w:t xml:space="preserve">  </w:t>
      </w:r>
      <w:hyperlink r:id="rId1" w:history="1">
        <w:r w:rsidRPr="006F7033">
          <w:rPr>
            <w:rStyle w:val="Hyperlink"/>
            <w:rFonts w:ascii="Arial Narrow" w:hAnsi="Arial Narrow"/>
            <w:sz w:val="16"/>
            <w:szCs w:val="16"/>
          </w:rPr>
          <w:t>http://www.scotland.gov.uk/Resource/0043/00432251.pdf</w:t>
        </w:r>
      </w:hyperlink>
      <w:r>
        <w:rPr>
          <w:rFonts w:ascii="Arial Narrow" w:hAnsi="Arial Narrow"/>
          <w:sz w:val="16"/>
          <w:szCs w:val="16"/>
        </w:rPr>
        <w:t xml:space="preserve">   </w:t>
      </w:r>
    </w:p>
  </w:footnote>
  <w:footnote w:id="4">
    <w:p w:rsidR="00FA0D42" w:rsidRDefault="00FA0D42">
      <w:pPr>
        <w:pStyle w:val="FootnoteText"/>
        <w:spacing w:after="0"/>
        <w:jc w:val="both"/>
      </w:pPr>
      <w:r w:rsidRPr="00613566">
        <w:rPr>
          <w:rStyle w:val="FootnoteReference"/>
          <w:rFonts w:ascii="Arial Narrow" w:hAnsi="Arial Narrow"/>
          <w:sz w:val="16"/>
          <w:szCs w:val="16"/>
        </w:rPr>
        <w:footnoteRef/>
      </w:r>
      <w:r w:rsidRPr="00613566">
        <w:rPr>
          <w:rFonts w:ascii="Arial Narrow" w:hAnsi="Arial Narrow"/>
          <w:sz w:val="16"/>
          <w:szCs w:val="16"/>
        </w:rPr>
        <w:t xml:space="preserve"> </w:t>
      </w:r>
      <w:r>
        <w:rPr>
          <w:rFonts w:ascii="Arial Narrow" w:hAnsi="Arial Narrow"/>
          <w:sz w:val="16"/>
          <w:szCs w:val="16"/>
        </w:rPr>
        <w:t xml:space="preserve"> </w:t>
      </w:r>
      <w:r w:rsidRPr="00613566">
        <w:rPr>
          <w:rFonts w:ascii="Arial Narrow" w:hAnsi="Arial Narrow"/>
          <w:sz w:val="16"/>
          <w:szCs w:val="16"/>
        </w:rPr>
        <w:t>. The SIC code that was felt to best fit the function of the floorspace was used. Thus call centres are assumed to fall within Office, Administration, Office Support and other Business Support Activities</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D42" w:rsidRPr="004C3379" w:rsidRDefault="00FA0D42">
    <w:pPr>
      <w:pStyle w:val="Header"/>
      <w:rPr>
        <w:rFonts w:ascii="Arial Narrow" w:hAnsi="Arial Narrow"/>
        <w:i/>
        <w:sz w:val="16"/>
        <w:szCs w:val="16"/>
      </w:rPr>
    </w:pPr>
    <w:r w:rsidRPr="004C3379">
      <w:rPr>
        <w:rFonts w:ascii="Arial Narrow" w:hAnsi="Arial Narrow"/>
        <w:i/>
        <w:sz w:val="16"/>
        <w:szCs w:val="16"/>
      </w:rPr>
      <w:t>Scottish Enterprise Economic Impact Guidance</w:t>
    </w:r>
  </w:p>
  <w:p w:rsidR="00FA0D42" w:rsidRDefault="00FA0D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E72"/>
    <w:multiLevelType w:val="hybridMultilevel"/>
    <w:tmpl w:val="735E4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7997A0A"/>
    <w:multiLevelType w:val="hybridMultilevel"/>
    <w:tmpl w:val="4ABA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F32E2D"/>
    <w:multiLevelType w:val="hybridMultilevel"/>
    <w:tmpl w:val="483A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84782A"/>
    <w:multiLevelType w:val="hybridMultilevel"/>
    <w:tmpl w:val="88B4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38502F"/>
    <w:multiLevelType w:val="hybridMultilevel"/>
    <w:tmpl w:val="AAFC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0119AB"/>
    <w:multiLevelType w:val="hybridMultilevel"/>
    <w:tmpl w:val="EA044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6FD9"/>
    <w:rsid w:val="00057EB6"/>
    <w:rsid w:val="00062368"/>
    <w:rsid w:val="00096F2C"/>
    <w:rsid w:val="000979D9"/>
    <w:rsid w:val="000E2DC2"/>
    <w:rsid w:val="000E3561"/>
    <w:rsid w:val="001802B3"/>
    <w:rsid w:val="001B3986"/>
    <w:rsid w:val="002256E8"/>
    <w:rsid w:val="0022651A"/>
    <w:rsid w:val="00240249"/>
    <w:rsid w:val="00250C58"/>
    <w:rsid w:val="00265BC6"/>
    <w:rsid w:val="002D7D84"/>
    <w:rsid w:val="002E513E"/>
    <w:rsid w:val="002F63C5"/>
    <w:rsid w:val="003856FC"/>
    <w:rsid w:val="00387095"/>
    <w:rsid w:val="003A2CEF"/>
    <w:rsid w:val="003A4C30"/>
    <w:rsid w:val="0044464C"/>
    <w:rsid w:val="00496FD9"/>
    <w:rsid w:val="004C3379"/>
    <w:rsid w:val="004F3DC7"/>
    <w:rsid w:val="00503FFC"/>
    <w:rsid w:val="00513E36"/>
    <w:rsid w:val="00584097"/>
    <w:rsid w:val="005C50A3"/>
    <w:rsid w:val="005D487C"/>
    <w:rsid w:val="00613566"/>
    <w:rsid w:val="00624C43"/>
    <w:rsid w:val="00743CEC"/>
    <w:rsid w:val="007A5AD5"/>
    <w:rsid w:val="007B0D97"/>
    <w:rsid w:val="007C415D"/>
    <w:rsid w:val="0082651C"/>
    <w:rsid w:val="008B3197"/>
    <w:rsid w:val="008F1AE4"/>
    <w:rsid w:val="009450BC"/>
    <w:rsid w:val="00974DBF"/>
    <w:rsid w:val="009D0F79"/>
    <w:rsid w:val="009F7848"/>
    <w:rsid w:val="00A01F08"/>
    <w:rsid w:val="00A274C7"/>
    <w:rsid w:val="00AE64DD"/>
    <w:rsid w:val="00AF7DDB"/>
    <w:rsid w:val="00B2054B"/>
    <w:rsid w:val="00B668EB"/>
    <w:rsid w:val="00BC4FEB"/>
    <w:rsid w:val="00BD0EFE"/>
    <w:rsid w:val="00BE1C7C"/>
    <w:rsid w:val="00BF3C0E"/>
    <w:rsid w:val="00C50D49"/>
    <w:rsid w:val="00CD1F82"/>
    <w:rsid w:val="00CE02B8"/>
    <w:rsid w:val="00CE2947"/>
    <w:rsid w:val="00D04AA3"/>
    <w:rsid w:val="00D132F8"/>
    <w:rsid w:val="00D87D76"/>
    <w:rsid w:val="00DA01A9"/>
    <w:rsid w:val="00DB020B"/>
    <w:rsid w:val="00DD736E"/>
    <w:rsid w:val="00E300D0"/>
    <w:rsid w:val="00E44DE5"/>
    <w:rsid w:val="00E5602A"/>
    <w:rsid w:val="00E809D3"/>
    <w:rsid w:val="00E944F5"/>
    <w:rsid w:val="00F33E06"/>
    <w:rsid w:val="00F66C45"/>
    <w:rsid w:val="00FA0D42"/>
    <w:rsid w:val="00FE18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0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F79"/>
    <w:rPr>
      <w:rFonts w:ascii="Tahoma" w:hAnsi="Tahoma" w:cs="Tahoma"/>
      <w:sz w:val="16"/>
      <w:szCs w:val="16"/>
    </w:rPr>
  </w:style>
  <w:style w:type="table" w:styleId="TableGrid">
    <w:name w:val="Table Grid"/>
    <w:basedOn w:val="TableNormal"/>
    <w:uiPriority w:val="99"/>
    <w:rsid w:val="00496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9F7848"/>
    <w:rPr>
      <w:rFonts w:cs="Times New Roman"/>
      <w:color w:val="0000FF"/>
      <w:u w:val="single"/>
    </w:rPr>
  </w:style>
  <w:style w:type="character" w:styleId="CommentReference">
    <w:name w:val="annotation reference"/>
    <w:basedOn w:val="DefaultParagraphFont"/>
    <w:uiPriority w:val="99"/>
    <w:semiHidden/>
    <w:rsid w:val="009D0F79"/>
    <w:rPr>
      <w:rFonts w:cs="Times New Roman"/>
      <w:sz w:val="16"/>
      <w:szCs w:val="16"/>
    </w:rPr>
  </w:style>
  <w:style w:type="paragraph" w:styleId="CommentText">
    <w:name w:val="annotation text"/>
    <w:basedOn w:val="Normal"/>
    <w:link w:val="CommentTextChar"/>
    <w:uiPriority w:val="99"/>
    <w:semiHidden/>
    <w:rsid w:val="009D0F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D0F79"/>
    <w:rPr>
      <w:rFonts w:cs="Times New Roman"/>
      <w:sz w:val="20"/>
      <w:szCs w:val="20"/>
    </w:rPr>
  </w:style>
  <w:style w:type="paragraph" w:styleId="ListParagraph">
    <w:name w:val="List Paragraph"/>
    <w:basedOn w:val="Normal"/>
    <w:uiPriority w:val="99"/>
    <w:qFormat/>
    <w:rsid w:val="009D0F79"/>
    <w:pPr>
      <w:ind w:left="720"/>
      <w:contextualSpacing/>
    </w:pPr>
  </w:style>
  <w:style w:type="table" w:customStyle="1" w:styleId="LightShading-Accent11">
    <w:name w:val="Light Shading - Accent 11"/>
    <w:uiPriority w:val="99"/>
    <w:rsid w:val="00B668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Default">
    <w:name w:val="Default"/>
    <w:uiPriority w:val="99"/>
    <w:rsid w:val="00057EB6"/>
    <w:pPr>
      <w:autoSpaceDE w:val="0"/>
      <w:autoSpaceDN w:val="0"/>
      <w:adjustRightInd w:val="0"/>
    </w:pPr>
    <w:rPr>
      <w:rFonts w:ascii="Arial" w:hAnsi="Arial" w:cs="Arial"/>
      <w:color w:val="000000"/>
      <w:sz w:val="24"/>
      <w:szCs w:val="24"/>
      <w:lang w:eastAsia="en-US"/>
    </w:rPr>
  </w:style>
  <w:style w:type="paragraph" w:styleId="CommentSubject">
    <w:name w:val="annotation subject"/>
    <w:basedOn w:val="CommentText"/>
    <w:next w:val="CommentText"/>
    <w:link w:val="CommentSubjectChar"/>
    <w:uiPriority w:val="99"/>
    <w:semiHidden/>
    <w:rsid w:val="00BC4FEB"/>
    <w:pPr>
      <w:spacing w:line="276" w:lineRule="auto"/>
    </w:pPr>
    <w:rPr>
      <w:b/>
      <w:bCs/>
    </w:rPr>
  </w:style>
  <w:style w:type="character" w:customStyle="1" w:styleId="CommentSubjectChar">
    <w:name w:val="Comment Subject Char"/>
    <w:basedOn w:val="CommentTextChar"/>
    <w:link w:val="CommentSubject"/>
    <w:uiPriority w:val="99"/>
    <w:semiHidden/>
    <w:locked/>
    <w:rsid w:val="00503FFC"/>
    <w:rPr>
      <w:b/>
      <w:bCs/>
      <w:lang w:eastAsia="en-US"/>
    </w:rPr>
  </w:style>
  <w:style w:type="paragraph" w:styleId="FootnoteText">
    <w:name w:val="footnote text"/>
    <w:basedOn w:val="Normal"/>
    <w:link w:val="FootnoteTextChar"/>
    <w:uiPriority w:val="99"/>
    <w:semiHidden/>
    <w:rsid w:val="004F3DC7"/>
    <w:rPr>
      <w:sz w:val="20"/>
      <w:szCs w:val="20"/>
    </w:rPr>
  </w:style>
  <w:style w:type="character" w:customStyle="1" w:styleId="FootnoteTextChar">
    <w:name w:val="Footnote Text Char"/>
    <w:basedOn w:val="DefaultParagraphFont"/>
    <w:link w:val="FootnoteText"/>
    <w:uiPriority w:val="99"/>
    <w:semiHidden/>
    <w:locked/>
    <w:rsid w:val="00F66C45"/>
    <w:rPr>
      <w:rFonts w:cs="Times New Roman"/>
      <w:sz w:val="20"/>
      <w:szCs w:val="20"/>
      <w:lang w:eastAsia="en-US"/>
    </w:rPr>
  </w:style>
  <w:style w:type="character" w:styleId="FootnoteReference">
    <w:name w:val="footnote reference"/>
    <w:basedOn w:val="DefaultParagraphFont"/>
    <w:uiPriority w:val="99"/>
    <w:semiHidden/>
    <w:rsid w:val="004F3DC7"/>
    <w:rPr>
      <w:rFonts w:cs="Times New Roman"/>
      <w:vertAlign w:val="superscript"/>
    </w:rPr>
  </w:style>
  <w:style w:type="paragraph" w:styleId="Header">
    <w:name w:val="header"/>
    <w:basedOn w:val="Normal"/>
    <w:link w:val="HeaderChar"/>
    <w:uiPriority w:val="99"/>
    <w:unhideWhenUsed/>
    <w:rsid w:val="004C3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379"/>
    <w:rPr>
      <w:sz w:val="22"/>
      <w:szCs w:val="22"/>
      <w:lang w:eastAsia="en-US"/>
    </w:rPr>
  </w:style>
  <w:style w:type="paragraph" w:styleId="Footer">
    <w:name w:val="footer"/>
    <w:basedOn w:val="Normal"/>
    <w:link w:val="FooterChar"/>
    <w:uiPriority w:val="99"/>
    <w:unhideWhenUsed/>
    <w:rsid w:val="004C3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37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sandcommunities.co.uk/employment-densities-guide-2nd-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zanne.fleming@scotent.co.uk" TargetMode="External"/><Relationship Id="rId4" Type="http://schemas.openxmlformats.org/officeDocument/2006/relationships/settings" Target="settings.xml"/><Relationship Id="rId9" Type="http://schemas.openxmlformats.org/officeDocument/2006/relationships/hyperlink" Target="http://www.metric-conversions.org/area/square-feet-to-square-meters.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otland.gov.uk/Resource/0043/004322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2BE22B-43BB-4BD2-91BC-7F3E3B18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927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Employment Densities for Property Projects</vt:lpstr>
    </vt:vector>
  </TitlesOfParts>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Densities for Property Projects</dc:title>
  <dc:subject/>
  <dc:creator>ckelly</dc:creator>
  <cp:keywords/>
  <dc:description/>
  <cp:lastModifiedBy>hayton</cp:lastModifiedBy>
  <cp:revision>6</cp:revision>
  <dcterms:created xsi:type="dcterms:W3CDTF">2014-01-15T15:32:00Z</dcterms:created>
  <dcterms:modified xsi:type="dcterms:W3CDTF">2014-03-27T11:45:00Z</dcterms:modified>
</cp:coreProperties>
</file>