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9D" w:rsidRPr="000204E6" w:rsidRDefault="00154D61" w:rsidP="00154D61">
      <w:pPr>
        <w:pStyle w:val="Heading1"/>
        <w:jc w:val="center"/>
        <w:rPr>
          <w:rFonts w:ascii="Arial Narrow" w:hAnsi="Arial Narrow"/>
          <w:color w:val="auto"/>
          <w:sz w:val="36"/>
          <w:szCs w:val="36"/>
        </w:rPr>
      </w:pPr>
      <w:bookmarkStart w:id="0" w:name="_GoBack"/>
      <w:bookmarkEnd w:id="0"/>
      <w:r w:rsidRPr="000204E6">
        <w:rPr>
          <w:rFonts w:ascii="Arial Narrow" w:hAnsi="Arial Narrow"/>
          <w:color w:val="auto"/>
          <w:sz w:val="36"/>
          <w:szCs w:val="36"/>
        </w:rPr>
        <w:t>Gross Value Added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E4679D" w:rsidRPr="000204E6" w:rsidTr="00C46232">
        <w:tc>
          <w:tcPr>
            <w:tcW w:w="9134" w:type="dxa"/>
            <w:shd w:val="clear" w:color="auto" w:fill="95B3D7"/>
          </w:tcPr>
          <w:p w:rsidR="00E4679D" w:rsidRPr="000204E6" w:rsidRDefault="00E4679D" w:rsidP="00C46232">
            <w:pPr>
              <w:spacing w:after="0" w:line="240" w:lineRule="auto"/>
              <w:jc w:val="center"/>
              <w:rPr>
                <w:rFonts w:ascii="Arial Narrow" w:hAnsi="Arial Narrow"/>
                <w:b/>
                <w:sz w:val="24"/>
                <w:szCs w:val="24"/>
              </w:rPr>
            </w:pPr>
            <w:r w:rsidRPr="000204E6">
              <w:rPr>
                <w:rFonts w:ascii="Arial Narrow" w:hAnsi="Arial Narrow"/>
                <w:b/>
                <w:i/>
                <w:sz w:val="24"/>
                <w:szCs w:val="24"/>
              </w:rPr>
              <w:t xml:space="preserve">Gross Value Added (GVA) is an indicator of wealth creation, measuring </w:t>
            </w:r>
            <w:r w:rsidR="00154D61" w:rsidRPr="000204E6">
              <w:rPr>
                <w:rFonts w:ascii="Arial Narrow" w:hAnsi="Arial Narrow"/>
                <w:b/>
                <w:i/>
                <w:sz w:val="24"/>
                <w:szCs w:val="24"/>
              </w:rPr>
              <w:t xml:space="preserve">the </w:t>
            </w:r>
            <w:r w:rsidRPr="000204E6">
              <w:rPr>
                <w:rFonts w:ascii="Arial Narrow" w:hAnsi="Arial Narrow"/>
                <w:b/>
                <w:i/>
                <w:sz w:val="24"/>
                <w:szCs w:val="24"/>
              </w:rPr>
              <w:t xml:space="preserve">contribution to the economy of </w:t>
            </w:r>
            <w:r w:rsidR="00FC182A" w:rsidRPr="000204E6">
              <w:rPr>
                <w:rFonts w:ascii="Arial Narrow" w:hAnsi="Arial Narrow"/>
                <w:b/>
                <w:i/>
                <w:sz w:val="24"/>
                <w:szCs w:val="24"/>
              </w:rPr>
              <w:t xml:space="preserve">a specified </w:t>
            </w:r>
            <w:r w:rsidR="006567C2" w:rsidRPr="000204E6">
              <w:rPr>
                <w:rFonts w:ascii="Arial Narrow" w:hAnsi="Arial Narrow"/>
                <w:b/>
                <w:i/>
                <w:sz w:val="24"/>
                <w:szCs w:val="24"/>
              </w:rPr>
              <w:t>investment in</w:t>
            </w:r>
            <w:r w:rsidRPr="000204E6">
              <w:rPr>
                <w:rFonts w:ascii="Arial Narrow" w:hAnsi="Arial Narrow"/>
                <w:b/>
                <w:i/>
                <w:sz w:val="24"/>
                <w:szCs w:val="24"/>
              </w:rPr>
              <w:t xml:space="preserve"> economic activity.</w:t>
            </w:r>
          </w:p>
        </w:tc>
      </w:tr>
    </w:tbl>
    <w:p w:rsidR="00E4679D" w:rsidRPr="000204E6" w:rsidRDefault="00E4679D" w:rsidP="00E4679D">
      <w:pPr>
        <w:spacing w:after="0"/>
        <w:rPr>
          <w:rFonts w:ascii="Arial Narrow" w:hAnsi="Arial Narrow"/>
          <w:sz w:val="24"/>
          <w:szCs w:val="24"/>
        </w:rPr>
      </w:pPr>
    </w:p>
    <w:p w:rsidR="00E4679D" w:rsidRPr="000204E6" w:rsidRDefault="00E4679D" w:rsidP="00E4679D">
      <w:pPr>
        <w:rPr>
          <w:rFonts w:ascii="Arial Narrow" w:hAnsi="Arial Narrow"/>
          <w:b/>
          <w:sz w:val="28"/>
          <w:szCs w:val="28"/>
        </w:rPr>
      </w:pPr>
      <w:r w:rsidRPr="000204E6">
        <w:rPr>
          <w:rFonts w:ascii="Arial Narrow" w:hAnsi="Arial Narrow"/>
          <w:b/>
          <w:sz w:val="28"/>
          <w:szCs w:val="28"/>
        </w:rPr>
        <w:t>Why is it important?</w:t>
      </w:r>
    </w:p>
    <w:p w:rsidR="00E4679D" w:rsidRPr="000204E6" w:rsidRDefault="00E4679D" w:rsidP="00E4679D">
      <w:pPr>
        <w:jc w:val="both"/>
        <w:rPr>
          <w:rFonts w:ascii="Arial Narrow" w:hAnsi="Arial Narrow"/>
          <w:sz w:val="24"/>
          <w:szCs w:val="24"/>
        </w:rPr>
      </w:pPr>
      <w:r w:rsidRPr="000204E6">
        <w:rPr>
          <w:rFonts w:ascii="Arial Narrow" w:hAnsi="Arial Narrow"/>
          <w:sz w:val="24"/>
          <w:szCs w:val="24"/>
        </w:rPr>
        <w:t>GVA is one of the most commonly applied indicators</w:t>
      </w:r>
      <w:r w:rsidR="00FC182A" w:rsidRPr="000204E6">
        <w:rPr>
          <w:rFonts w:ascii="Arial Narrow" w:hAnsi="Arial Narrow"/>
          <w:sz w:val="24"/>
          <w:szCs w:val="24"/>
        </w:rPr>
        <w:t xml:space="preserve"> of economic impact and </w:t>
      </w:r>
      <w:r w:rsidRPr="000204E6">
        <w:rPr>
          <w:rFonts w:ascii="Arial Narrow" w:hAnsi="Arial Narrow"/>
          <w:sz w:val="24"/>
          <w:szCs w:val="24"/>
        </w:rPr>
        <w:t>provid</w:t>
      </w:r>
      <w:r w:rsidR="00FC182A" w:rsidRPr="000204E6">
        <w:rPr>
          <w:rFonts w:ascii="Arial Narrow" w:hAnsi="Arial Narrow"/>
          <w:sz w:val="24"/>
          <w:szCs w:val="24"/>
        </w:rPr>
        <w:t xml:space="preserve">es </w:t>
      </w:r>
      <w:r w:rsidRPr="000204E6">
        <w:rPr>
          <w:rFonts w:ascii="Arial Narrow" w:hAnsi="Arial Narrow"/>
          <w:sz w:val="24"/>
          <w:szCs w:val="24"/>
        </w:rPr>
        <w:t xml:space="preserve">a measure of the wealth generated </w:t>
      </w:r>
      <w:r w:rsidR="00FC182A" w:rsidRPr="000204E6">
        <w:rPr>
          <w:rFonts w:ascii="Arial Narrow" w:hAnsi="Arial Narrow"/>
          <w:sz w:val="24"/>
          <w:szCs w:val="24"/>
        </w:rPr>
        <w:t>within</w:t>
      </w:r>
      <w:r w:rsidR="006567C2" w:rsidRPr="000204E6">
        <w:rPr>
          <w:rFonts w:ascii="Arial Narrow" w:hAnsi="Arial Narrow"/>
          <w:sz w:val="24"/>
          <w:szCs w:val="24"/>
        </w:rPr>
        <w:t xml:space="preserve"> the economy </w:t>
      </w:r>
      <w:r w:rsidR="00694346" w:rsidRPr="000204E6">
        <w:rPr>
          <w:rFonts w:ascii="Arial Narrow" w:hAnsi="Arial Narrow"/>
          <w:sz w:val="24"/>
          <w:szCs w:val="24"/>
        </w:rPr>
        <w:t>(</w:t>
      </w:r>
      <w:r w:rsidR="001052E3" w:rsidRPr="000204E6">
        <w:rPr>
          <w:rFonts w:ascii="Arial Narrow" w:hAnsi="Arial Narrow"/>
          <w:sz w:val="24"/>
          <w:szCs w:val="24"/>
        </w:rPr>
        <w:t>over time</w:t>
      </w:r>
      <w:r w:rsidR="00694346" w:rsidRPr="000204E6">
        <w:rPr>
          <w:rFonts w:ascii="Arial Narrow" w:hAnsi="Arial Narrow"/>
          <w:sz w:val="24"/>
          <w:szCs w:val="24"/>
        </w:rPr>
        <w:t>)</w:t>
      </w:r>
      <w:r w:rsidR="001052E3" w:rsidRPr="000204E6">
        <w:rPr>
          <w:rFonts w:ascii="Arial Narrow" w:hAnsi="Arial Narrow"/>
          <w:sz w:val="24"/>
          <w:szCs w:val="24"/>
        </w:rPr>
        <w:t xml:space="preserve"> </w:t>
      </w:r>
      <w:r w:rsidR="006567C2" w:rsidRPr="000204E6">
        <w:rPr>
          <w:rFonts w:ascii="Arial Narrow" w:hAnsi="Arial Narrow"/>
          <w:sz w:val="24"/>
          <w:szCs w:val="24"/>
        </w:rPr>
        <w:t xml:space="preserve">resulting from </w:t>
      </w:r>
      <w:r w:rsidR="00694346" w:rsidRPr="000204E6">
        <w:rPr>
          <w:rFonts w:ascii="Arial Narrow" w:hAnsi="Arial Narrow"/>
          <w:sz w:val="24"/>
          <w:szCs w:val="24"/>
        </w:rPr>
        <w:t>direct</w:t>
      </w:r>
      <w:r w:rsidR="00FC182A" w:rsidRPr="000204E6">
        <w:rPr>
          <w:rFonts w:ascii="Arial Narrow" w:hAnsi="Arial Narrow"/>
          <w:sz w:val="24"/>
          <w:szCs w:val="24"/>
        </w:rPr>
        <w:t xml:space="preserve"> </w:t>
      </w:r>
      <w:r w:rsidR="006567C2" w:rsidRPr="000204E6">
        <w:rPr>
          <w:rFonts w:ascii="Arial Narrow" w:hAnsi="Arial Narrow"/>
          <w:sz w:val="24"/>
          <w:szCs w:val="24"/>
        </w:rPr>
        <w:t xml:space="preserve">investment </w:t>
      </w:r>
      <w:r w:rsidR="001052E3" w:rsidRPr="000204E6">
        <w:rPr>
          <w:rFonts w:ascii="Arial Narrow" w:hAnsi="Arial Narrow"/>
          <w:sz w:val="24"/>
          <w:szCs w:val="24"/>
        </w:rPr>
        <w:t xml:space="preserve">in </w:t>
      </w:r>
      <w:r w:rsidRPr="000204E6">
        <w:rPr>
          <w:rFonts w:ascii="Arial Narrow" w:hAnsi="Arial Narrow"/>
          <w:sz w:val="24"/>
          <w:szCs w:val="24"/>
        </w:rPr>
        <w:t xml:space="preserve">economic activity. </w:t>
      </w:r>
    </w:p>
    <w:p w:rsidR="00E4679D" w:rsidRPr="000204E6" w:rsidRDefault="00694346" w:rsidP="00E4679D">
      <w:pPr>
        <w:jc w:val="both"/>
        <w:rPr>
          <w:rFonts w:ascii="Arial Narrow" w:hAnsi="Arial Narrow"/>
          <w:sz w:val="24"/>
          <w:szCs w:val="24"/>
        </w:rPr>
      </w:pPr>
      <w:r w:rsidRPr="000204E6">
        <w:rPr>
          <w:rFonts w:ascii="Arial Narrow" w:hAnsi="Arial Narrow"/>
          <w:sz w:val="24"/>
          <w:szCs w:val="24"/>
        </w:rPr>
        <w:t>It</w:t>
      </w:r>
      <w:r w:rsidR="00E4679D" w:rsidRPr="000204E6">
        <w:rPr>
          <w:rFonts w:ascii="Arial Narrow" w:hAnsi="Arial Narrow"/>
          <w:sz w:val="24"/>
          <w:szCs w:val="24"/>
        </w:rPr>
        <w:t xml:space="preserve"> is one of the </w:t>
      </w:r>
      <w:r w:rsidR="0078064D">
        <w:rPr>
          <w:rFonts w:ascii="Arial Narrow" w:hAnsi="Arial Narrow"/>
          <w:sz w:val="24"/>
          <w:szCs w:val="24"/>
        </w:rPr>
        <w:t xml:space="preserve">Scotland’s Economic Strategy </w:t>
      </w:r>
      <w:hyperlink r:id="rId8" w:history="1">
        <w:r w:rsidR="00E4679D" w:rsidRPr="000204E6">
          <w:rPr>
            <w:rStyle w:val="Hyperlink"/>
            <w:rFonts w:ascii="Arial Narrow" w:hAnsi="Arial Narrow"/>
            <w:sz w:val="24"/>
            <w:szCs w:val="24"/>
          </w:rPr>
          <w:t>National Performance Framework Purpose Ta</w:t>
        </w:r>
        <w:r w:rsidR="00E4679D" w:rsidRPr="000204E6">
          <w:rPr>
            <w:rStyle w:val="Hyperlink"/>
            <w:rFonts w:ascii="Arial Narrow" w:hAnsi="Arial Narrow"/>
            <w:sz w:val="24"/>
            <w:szCs w:val="24"/>
          </w:rPr>
          <w:t>r</w:t>
        </w:r>
        <w:r w:rsidR="00E4679D" w:rsidRPr="000204E6">
          <w:rPr>
            <w:rStyle w:val="Hyperlink"/>
            <w:rFonts w:ascii="Arial Narrow" w:hAnsi="Arial Narrow"/>
            <w:sz w:val="24"/>
            <w:szCs w:val="24"/>
          </w:rPr>
          <w:t>gets</w:t>
        </w:r>
      </w:hyperlink>
      <w:r w:rsidR="00E4679D" w:rsidRPr="000204E6">
        <w:rPr>
          <w:rFonts w:ascii="Arial Narrow" w:hAnsi="Arial Narrow"/>
          <w:sz w:val="24"/>
          <w:szCs w:val="24"/>
        </w:rPr>
        <w:t xml:space="preserve"> defined as </w:t>
      </w:r>
      <w:r w:rsidRPr="000204E6">
        <w:rPr>
          <w:rFonts w:ascii="Arial Narrow" w:hAnsi="Arial Narrow"/>
          <w:sz w:val="24"/>
          <w:szCs w:val="24"/>
        </w:rPr>
        <w:t xml:space="preserve">being </w:t>
      </w:r>
      <w:r w:rsidR="00E4679D" w:rsidRPr="000204E6">
        <w:rPr>
          <w:rFonts w:ascii="Arial Narrow" w:hAnsi="Arial Narrow"/>
          <w:sz w:val="24"/>
          <w:szCs w:val="24"/>
        </w:rPr>
        <w:t xml:space="preserve">the value of the output produced in the economy over a particular period </w:t>
      </w:r>
      <w:r w:rsidR="001052E3" w:rsidRPr="000204E6">
        <w:rPr>
          <w:rFonts w:ascii="Arial Narrow" w:hAnsi="Arial Narrow"/>
          <w:sz w:val="24"/>
          <w:szCs w:val="24"/>
        </w:rPr>
        <w:t xml:space="preserve">less any appropriate </w:t>
      </w:r>
      <w:r w:rsidR="00E4679D" w:rsidRPr="000204E6">
        <w:rPr>
          <w:rFonts w:ascii="Arial Narrow" w:hAnsi="Arial Narrow"/>
          <w:sz w:val="24"/>
          <w:szCs w:val="24"/>
        </w:rPr>
        <w:t>intermediate consumption (</w:t>
      </w:r>
      <w:r w:rsidR="001052E3" w:rsidRPr="000204E6">
        <w:rPr>
          <w:rFonts w:ascii="Arial Narrow" w:hAnsi="Arial Narrow"/>
          <w:sz w:val="24"/>
          <w:szCs w:val="24"/>
        </w:rPr>
        <w:t xml:space="preserve">i.e. </w:t>
      </w:r>
      <w:r w:rsidR="00E4679D" w:rsidRPr="000204E6">
        <w:rPr>
          <w:rFonts w:ascii="Arial Narrow" w:hAnsi="Arial Narrow"/>
          <w:sz w:val="24"/>
          <w:szCs w:val="24"/>
        </w:rPr>
        <w:t>the value of the goods and services consumed as inp</w:t>
      </w:r>
      <w:r w:rsidRPr="000204E6">
        <w:rPr>
          <w:rFonts w:ascii="Arial Narrow" w:hAnsi="Arial Narrow"/>
          <w:sz w:val="24"/>
          <w:szCs w:val="24"/>
        </w:rPr>
        <w:t>uts to the production process</w:t>
      </w:r>
      <w:r w:rsidR="00E4679D" w:rsidRPr="000204E6">
        <w:rPr>
          <w:rFonts w:ascii="Arial Narrow" w:hAnsi="Arial Narrow"/>
          <w:sz w:val="24"/>
          <w:szCs w:val="24"/>
        </w:rPr>
        <w:t>)</w:t>
      </w:r>
      <w:r w:rsidR="00E4679D" w:rsidRPr="000204E6">
        <w:rPr>
          <w:rStyle w:val="FootnoteReference"/>
          <w:rFonts w:ascii="Arial Narrow" w:hAnsi="Arial Narrow"/>
          <w:szCs w:val="16"/>
        </w:rPr>
        <w:footnoteReference w:id="1"/>
      </w:r>
      <w:r w:rsidR="00E4679D" w:rsidRPr="000204E6">
        <w:rPr>
          <w:rFonts w:ascii="Arial Narrow" w:hAnsi="Arial Narrow"/>
          <w:sz w:val="24"/>
          <w:szCs w:val="24"/>
        </w:rPr>
        <w:t>.</w:t>
      </w:r>
    </w:p>
    <w:p w:rsidR="00E4679D" w:rsidRPr="000204E6" w:rsidRDefault="00E4679D" w:rsidP="00E4679D">
      <w:pPr>
        <w:jc w:val="both"/>
        <w:rPr>
          <w:rFonts w:ascii="Arial Narrow" w:hAnsi="Arial Narrow"/>
          <w:sz w:val="24"/>
          <w:szCs w:val="24"/>
        </w:rPr>
      </w:pPr>
      <w:r w:rsidRPr="000204E6">
        <w:rPr>
          <w:rFonts w:ascii="Arial Narrow" w:hAnsi="Arial Narrow"/>
          <w:sz w:val="24"/>
          <w:szCs w:val="24"/>
        </w:rPr>
        <w:t xml:space="preserve">GVA is useful in that it adds important </w:t>
      </w:r>
      <w:r w:rsidR="008E2E25" w:rsidRPr="000204E6">
        <w:rPr>
          <w:rFonts w:ascii="Arial Narrow" w:hAnsi="Arial Narrow"/>
          <w:i/>
          <w:sz w:val="24"/>
          <w:szCs w:val="24"/>
        </w:rPr>
        <w:t>quantitative</w:t>
      </w:r>
      <w:r w:rsidR="00FC182A" w:rsidRPr="000204E6">
        <w:rPr>
          <w:rFonts w:ascii="Arial Narrow" w:hAnsi="Arial Narrow"/>
          <w:sz w:val="24"/>
          <w:szCs w:val="24"/>
        </w:rPr>
        <w:t xml:space="preserve"> economic </w:t>
      </w:r>
      <w:r w:rsidRPr="000204E6">
        <w:rPr>
          <w:rFonts w:ascii="Arial Narrow" w:hAnsi="Arial Narrow"/>
          <w:sz w:val="24"/>
          <w:szCs w:val="24"/>
        </w:rPr>
        <w:t xml:space="preserve">detail to inform the assessment of an intervention’s actual </w:t>
      </w:r>
      <w:r w:rsidR="001052E3" w:rsidRPr="000204E6">
        <w:rPr>
          <w:rFonts w:ascii="Arial Narrow" w:hAnsi="Arial Narrow"/>
          <w:sz w:val="24"/>
          <w:szCs w:val="24"/>
        </w:rPr>
        <w:t xml:space="preserve">or potential </w:t>
      </w:r>
      <w:r w:rsidRPr="000204E6">
        <w:rPr>
          <w:rFonts w:ascii="Arial Narrow" w:hAnsi="Arial Narrow"/>
          <w:sz w:val="24"/>
          <w:szCs w:val="24"/>
        </w:rPr>
        <w:t>economic development value</w:t>
      </w:r>
      <w:r w:rsidR="001052E3" w:rsidRPr="000204E6">
        <w:rPr>
          <w:rFonts w:ascii="Arial Narrow" w:hAnsi="Arial Narrow"/>
          <w:sz w:val="24"/>
          <w:szCs w:val="24"/>
        </w:rPr>
        <w:t xml:space="preserve">. </w:t>
      </w:r>
      <w:r w:rsidR="0055761B">
        <w:rPr>
          <w:rFonts w:ascii="Arial Narrow" w:hAnsi="Arial Narrow"/>
          <w:sz w:val="24"/>
          <w:szCs w:val="24"/>
        </w:rPr>
        <w:t xml:space="preserve"> </w:t>
      </w:r>
      <w:r w:rsidR="001052E3" w:rsidRPr="000204E6">
        <w:rPr>
          <w:rFonts w:ascii="Arial Narrow" w:hAnsi="Arial Narrow"/>
          <w:sz w:val="24"/>
          <w:szCs w:val="24"/>
        </w:rPr>
        <w:t xml:space="preserve">Net GVA, for example, </w:t>
      </w:r>
      <w:r w:rsidRPr="000204E6">
        <w:rPr>
          <w:rFonts w:ascii="Arial Narrow" w:hAnsi="Arial Narrow"/>
          <w:sz w:val="24"/>
          <w:szCs w:val="24"/>
        </w:rPr>
        <w:t>indicate</w:t>
      </w:r>
      <w:r w:rsidR="00FC182A" w:rsidRPr="000204E6">
        <w:rPr>
          <w:rFonts w:ascii="Arial Narrow" w:hAnsi="Arial Narrow"/>
          <w:sz w:val="24"/>
          <w:szCs w:val="24"/>
        </w:rPr>
        <w:t>s</w:t>
      </w:r>
      <w:r w:rsidRPr="000204E6">
        <w:rPr>
          <w:rFonts w:ascii="Arial Narrow" w:hAnsi="Arial Narrow"/>
          <w:sz w:val="24"/>
          <w:szCs w:val="24"/>
        </w:rPr>
        <w:t xml:space="preserve"> the scale of weal</w:t>
      </w:r>
      <w:r w:rsidR="001052E3" w:rsidRPr="000204E6">
        <w:rPr>
          <w:rFonts w:ascii="Arial Narrow" w:hAnsi="Arial Narrow"/>
          <w:sz w:val="24"/>
          <w:szCs w:val="24"/>
        </w:rPr>
        <w:t xml:space="preserve">th generated by an intervention above that which would have been generated by </w:t>
      </w:r>
      <w:r w:rsidR="00FC182A" w:rsidRPr="000204E6">
        <w:rPr>
          <w:rFonts w:ascii="Arial Narrow" w:hAnsi="Arial Narrow"/>
          <w:sz w:val="24"/>
          <w:szCs w:val="24"/>
        </w:rPr>
        <w:t>beneficiaries anyway.</w:t>
      </w:r>
    </w:p>
    <w:p w:rsidR="00E4679D" w:rsidRPr="000204E6" w:rsidRDefault="00FC182A" w:rsidP="00E4679D">
      <w:pPr>
        <w:jc w:val="both"/>
        <w:rPr>
          <w:rFonts w:ascii="Arial Narrow" w:hAnsi="Arial Narrow"/>
          <w:sz w:val="24"/>
          <w:szCs w:val="24"/>
        </w:rPr>
      </w:pPr>
      <w:r w:rsidRPr="000204E6">
        <w:rPr>
          <w:rFonts w:ascii="Arial Narrow" w:hAnsi="Arial Narrow"/>
          <w:sz w:val="24"/>
          <w:szCs w:val="24"/>
        </w:rPr>
        <w:t>GVA data can be used</w:t>
      </w:r>
      <w:r w:rsidR="00E4679D" w:rsidRPr="000204E6">
        <w:rPr>
          <w:rFonts w:ascii="Arial Narrow" w:hAnsi="Arial Narrow"/>
          <w:sz w:val="24"/>
          <w:szCs w:val="24"/>
        </w:rPr>
        <w:t>:</w:t>
      </w:r>
      <w:r w:rsidR="005B4546" w:rsidRPr="000204E6">
        <w:rPr>
          <w:rFonts w:ascii="Arial Narrow" w:hAnsi="Arial Narrow"/>
          <w:sz w:val="24"/>
          <w:szCs w:val="24"/>
        </w:rPr>
        <w:t>-</w:t>
      </w:r>
    </w:p>
    <w:p w:rsidR="00694346" w:rsidRPr="000204E6" w:rsidRDefault="005B4546" w:rsidP="00E4679D">
      <w:pPr>
        <w:pStyle w:val="ListParagraph"/>
        <w:numPr>
          <w:ilvl w:val="0"/>
          <w:numId w:val="2"/>
        </w:numPr>
        <w:jc w:val="both"/>
        <w:rPr>
          <w:rFonts w:ascii="Arial Narrow" w:hAnsi="Arial Narrow"/>
          <w:sz w:val="24"/>
          <w:szCs w:val="24"/>
        </w:rPr>
      </w:pPr>
      <w:r w:rsidRPr="000204E6">
        <w:rPr>
          <w:rFonts w:ascii="Arial Narrow" w:hAnsi="Arial Narrow"/>
          <w:sz w:val="24"/>
          <w:szCs w:val="24"/>
        </w:rPr>
        <w:t>To h</w:t>
      </w:r>
      <w:r w:rsidR="00694346" w:rsidRPr="000204E6">
        <w:rPr>
          <w:rFonts w:ascii="Arial Narrow" w:hAnsi="Arial Narrow"/>
          <w:sz w:val="24"/>
          <w:szCs w:val="24"/>
        </w:rPr>
        <w:t>ighlight the absolute impact of an intervention (at both gross &amp; net levels);</w:t>
      </w:r>
    </w:p>
    <w:p w:rsidR="00E4679D" w:rsidRPr="000204E6" w:rsidRDefault="005B4546" w:rsidP="00E4679D">
      <w:pPr>
        <w:pStyle w:val="ListParagraph"/>
        <w:numPr>
          <w:ilvl w:val="0"/>
          <w:numId w:val="2"/>
        </w:numPr>
        <w:jc w:val="both"/>
        <w:rPr>
          <w:rFonts w:ascii="Arial Narrow" w:hAnsi="Arial Narrow"/>
          <w:sz w:val="24"/>
          <w:szCs w:val="24"/>
        </w:rPr>
      </w:pPr>
      <w:r w:rsidRPr="000204E6">
        <w:rPr>
          <w:rFonts w:ascii="Arial Narrow" w:hAnsi="Arial Narrow"/>
          <w:sz w:val="24"/>
          <w:szCs w:val="24"/>
        </w:rPr>
        <w:t>To c</w:t>
      </w:r>
      <w:r w:rsidR="00E4679D" w:rsidRPr="000204E6">
        <w:rPr>
          <w:rFonts w:ascii="Arial Narrow" w:hAnsi="Arial Narrow"/>
          <w:sz w:val="24"/>
          <w:szCs w:val="24"/>
        </w:rPr>
        <w:t xml:space="preserve">alculate the </w:t>
      </w:r>
      <w:r w:rsidR="00E4679D" w:rsidRPr="000204E6">
        <w:rPr>
          <w:rFonts w:ascii="Arial Narrow" w:hAnsi="Arial Narrow"/>
          <w:b/>
          <w:sz w:val="24"/>
          <w:szCs w:val="24"/>
        </w:rPr>
        <w:t xml:space="preserve">impact </w:t>
      </w:r>
      <w:r w:rsidR="00694346" w:rsidRPr="000204E6">
        <w:rPr>
          <w:rFonts w:ascii="Arial Narrow" w:hAnsi="Arial Narrow"/>
          <w:b/>
          <w:sz w:val="24"/>
          <w:szCs w:val="24"/>
        </w:rPr>
        <w:t xml:space="preserve">investment </w:t>
      </w:r>
      <w:r w:rsidR="00E4679D" w:rsidRPr="000204E6">
        <w:rPr>
          <w:rFonts w:ascii="Arial Narrow" w:hAnsi="Arial Narrow"/>
          <w:b/>
          <w:sz w:val="24"/>
          <w:szCs w:val="24"/>
        </w:rPr>
        <w:t>ratio</w:t>
      </w:r>
      <w:r w:rsidR="00FC182A" w:rsidRPr="000204E6">
        <w:rPr>
          <w:rFonts w:ascii="Arial Narrow" w:hAnsi="Arial Narrow"/>
          <w:b/>
          <w:sz w:val="24"/>
          <w:szCs w:val="24"/>
        </w:rPr>
        <w:t xml:space="preserve"> </w:t>
      </w:r>
      <w:r w:rsidR="00FC182A" w:rsidRPr="000204E6">
        <w:rPr>
          <w:rFonts w:ascii="Arial Narrow" w:hAnsi="Arial Narrow"/>
          <w:sz w:val="24"/>
          <w:szCs w:val="24"/>
        </w:rPr>
        <w:t>(</w:t>
      </w:r>
      <w:r w:rsidR="005913E7" w:rsidRPr="000204E6">
        <w:rPr>
          <w:rFonts w:ascii="Arial Narrow" w:hAnsi="Arial Narrow"/>
          <w:sz w:val="24"/>
          <w:szCs w:val="24"/>
        </w:rPr>
        <w:t xml:space="preserve">an indicator of </w:t>
      </w:r>
      <w:r w:rsidR="00694346" w:rsidRPr="000204E6">
        <w:rPr>
          <w:rFonts w:ascii="Arial Narrow" w:hAnsi="Arial Narrow"/>
          <w:sz w:val="24"/>
          <w:szCs w:val="24"/>
        </w:rPr>
        <w:t xml:space="preserve">the </w:t>
      </w:r>
      <w:r w:rsidR="00154D61" w:rsidRPr="000204E6">
        <w:rPr>
          <w:rFonts w:ascii="Arial Narrow" w:hAnsi="Arial Narrow"/>
          <w:sz w:val="24"/>
          <w:szCs w:val="24"/>
        </w:rPr>
        <w:t xml:space="preserve">relative </w:t>
      </w:r>
      <w:r w:rsidR="008E2E25" w:rsidRPr="000204E6">
        <w:rPr>
          <w:rFonts w:ascii="Arial Narrow" w:hAnsi="Arial Narrow"/>
          <w:sz w:val="24"/>
          <w:szCs w:val="24"/>
        </w:rPr>
        <w:t>effectiveness</w:t>
      </w:r>
      <w:r w:rsidR="005913E7" w:rsidRPr="000204E6">
        <w:rPr>
          <w:rFonts w:ascii="Arial Narrow" w:hAnsi="Arial Narrow"/>
          <w:sz w:val="24"/>
          <w:szCs w:val="24"/>
        </w:rPr>
        <w:t xml:space="preserve"> of an intervention</w:t>
      </w:r>
      <w:r w:rsidR="00FC182A" w:rsidRPr="000204E6">
        <w:rPr>
          <w:rFonts w:ascii="Arial Narrow" w:hAnsi="Arial Narrow"/>
          <w:sz w:val="24"/>
          <w:szCs w:val="24"/>
        </w:rPr>
        <w:t>)</w:t>
      </w:r>
      <w:r w:rsidR="00E4679D" w:rsidRPr="000204E6">
        <w:rPr>
          <w:rFonts w:ascii="Arial Narrow" w:hAnsi="Arial Narrow"/>
          <w:sz w:val="24"/>
          <w:szCs w:val="24"/>
        </w:rPr>
        <w:t>;</w:t>
      </w:r>
    </w:p>
    <w:p w:rsidR="00FC182A" w:rsidRPr="000204E6" w:rsidRDefault="005B4546" w:rsidP="00FC182A">
      <w:pPr>
        <w:pStyle w:val="ListParagraph"/>
        <w:numPr>
          <w:ilvl w:val="0"/>
          <w:numId w:val="2"/>
        </w:numPr>
        <w:jc w:val="both"/>
        <w:rPr>
          <w:rFonts w:ascii="Arial Narrow" w:hAnsi="Arial Narrow"/>
          <w:sz w:val="24"/>
          <w:szCs w:val="24"/>
        </w:rPr>
      </w:pPr>
      <w:r w:rsidRPr="000204E6">
        <w:rPr>
          <w:rFonts w:ascii="Arial Narrow" w:hAnsi="Arial Narrow"/>
          <w:sz w:val="24"/>
          <w:szCs w:val="24"/>
        </w:rPr>
        <w:t>A</w:t>
      </w:r>
      <w:r w:rsidR="00FC182A" w:rsidRPr="000204E6">
        <w:rPr>
          <w:rFonts w:ascii="Arial Narrow" w:hAnsi="Arial Narrow"/>
          <w:sz w:val="24"/>
          <w:szCs w:val="24"/>
        </w:rPr>
        <w:t>s a contributor to assessing the impact on productivity</w:t>
      </w:r>
      <w:r w:rsidR="00694346" w:rsidRPr="000204E6">
        <w:rPr>
          <w:rFonts w:ascii="Arial Narrow" w:hAnsi="Arial Narrow"/>
          <w:sz w:val="24"/>
          <w:szCs w:val="24"/>
        </w:rPr>
        <w:t xml:space="preserve"> as a result of an intervention</w:t>
      </w:r>
      <w:r w:rsidR="00FC182A" w:rsidRPr="000204E6">
        <w:rPr>
          <w:rFonts w:ascii="Arial Narrow" w:hAnsi="Arial Narrow"/>
          <w:sz w:val="24"/>
          <w:szCs w:val="24"/>
        </w:rPr>
        <w:t xml:space="preserve">; and </w:t>
      </w:r>
    </w:p>
    <w:p w:rsidR="00E4679D" w:rsidRPr="000204E6" w:rsidRDefault="005B4546" w:rsidP="00E4679D">
      <w:pPr>
        <w:pStyle w:val="ListParagraph"/>
        <w:numPr>
          <w:ilvl w:val="0"/>
          <w:numId w:val="2"/>
        </w:numPr>
        <w:jc w:val="both"/>
        <w:rPr>
          <w:rFonts w:ascii="Arial Narrow" w:hAnsi="Arial Narrow"/>
          <w:sz w:val="24"/>
          <w:szCs w:val="24"/>
        </w:rPr>
      </w:pPr>
      <w:r w:rsidRPr="000204E6">
        <w:rPr>
          <w:rFonts w:ascii="Arial Narrow" w:hAnsi="Arial Narrow"/>
          <w:sz w:val="24"/>
          <w:szCs w:val="24"/>
        </w:rPr>
        <w:t>T</w:t>
      </w:r>
      <w:r w:rsidR="00FC182A" w:rsidRPr="000204E6">
        <w:rPr>
          <w:rFonts w:ascii="Arial Narrow" w:hAnsi="Arial Narrow"/>
          <w:sz w:val="24"/>
          <w:szCs w:val="24"/>
        </w:rPr>
        <w:t xml:space="preserve">o </w:t>
      </w:r>
      <w:r w:rsidR="00694346" w:rsidRPr="000204E6">
        <w:rPr>
          <w:rFonts w:ascii="Arial Narrow" w:hAnsi="Arial Narrow"/>
          <w:sz w:val="24"/>
          <w:szCs w:val="24"/>
        </w:rPr>
        <w:t xml:space="preserve">help </w:t>
      </w:r>
      <w:r w:rsidR="00FC182A" w:rsidRPr="000204E6">
        <w:rPr>
          <w:rFonts w:ascii="Arial Narrow" w:hAnsi="Arial Narrow"/>
          <w:sz w:val="24"/>
          <w:szCs w:val="24"/>
        </w:rPr>
        <w:t>assess the ‘</w:t>
      </w:r>
      <w:r w:rsidR="008E2E25" w:rsidRPr="000204E6">
        <w:rPr>
          <w:rFonts w:ascii="Arial Narrow" w:hAnsi="Arial Narrow"/>
          <w:sz w:val="24"/>
          <w:szCs w:val="24"/>
        </w:rPr>
        <w:t>quality’ of</w:t>
      </w:r>
      <w:r w:rsidR="00E4679D" w:rsidRPr="000204E6">
        <w:rPr>
          <w:rFonts w:ascii="Arial Narrow" w:hAnsi="Arial Narrow"/>
          <w:sz w:val="24"/>
          <w:szCs w:val="24"/>
        </w:rPr>
        <w:t xml:space="preserve"> jobs generated </w:t>
      </w:r>
      <w:r w:rsidR="00FC182A" w:rsidRPr="000204E6">
        <w:rPr>
          <w:rFonts w:ascii="Arial Narrow" w:hAnsi="Arial Narrow"/>
          <w:sz w:val="24"/>
          <w:szCs w:val="24"/>
        </w:rPr>
        <w:t>(</w:t>
      </w:r>
      <w:r w:rsidR="00E4679D" w:rsidRPr="000204E6">
        <w:rPr>
          <w:rFonts w:ascii="Arial Narrow" w:hAnsi="Arial Narrow"/>
          <w:sz w:val="24"/>
          <w:szCs w:val="24"/>
        </w:rPr>
        <w:t>either through comparisons of the wage component of GVA or through comparisons of GVA per employee</w:t>
      </w:r>
      <w:r w:rsidR="00FC182A" w:rsidRPr="000204E6">
        <w:rPr>
          <w:rFonts w:ascii="Arial Narrow" w:hAnsi="Arial Narrow"/>
          <w:sz w:val="24"/>
          <w:szCs w:val="24"/>
        </w:rPr>
        <w:t>).</w:t>
      </w:r>
    </w:p>
    <w:p w:rsidR="00E4679D" w:rsidRPr="000204E6" w:rsidRDefault="00E4679D" w:rsidP="00E4679D">
      <w:pPr>
        <w:jc w:val="both"/>
        <w:rPr>
          <w:rFonts w:ascii="Arial Narrow" w:hAnsi="Arial Narrow"/>
          <w:sz w:val="24"/>
          <w:szCs w:val="24"/>
        </w:rPr>
      </w:pPr>
      <w:r w:rsidRPr="000204E6">
        <w:rPr>
          <w:rFonts w:ascii="Arial Narrow" w:hAnsi="Arial Narrow"/>
          <w:sz w:val="24"/>
          <w:szCs w:val="24"/>
        </w:rPr>
        <w:t>Please note that the approaches to measuring GVA described below will not necessarily apply to pre-commercial activity</w:t>
      </w:r>
      <w:r w:rsidR="00694346" w:rsidRPr="000204E6">
        <w:rPr>
          <w:rFonts w:ascii="Arial Narrow" w:hAnsi="Arial Narrow"/>
          <w:sz w:val="24"/>
          <w:szCs w:val="24"/>
        </w:rPr>
        <w:t xml:space="preserve"> (</w:t>
      </w:r>
      <w:r w:rsidRPr="000204E6">
        <w:rPr>
          <w:rFonts w:ascii="Arial Narrow" w:hAnsi="Arial Narrow"/>
          <w:sz w:val="24"/>
          <w:szCs w:val="24"/>
        </w:rPr>
        <w:t>such as the product development phase of a new start company</w:t>
      </w:r>
      <w:r w:rsidR="00694346" w:rsidRPr="000204E6">
        <w:rPr>
          <w:rFonts w:ascii="Arial Narrow" w:hAnsi="Arial Narrow"/>
          <w:sz w:val="24"/>
          <w:szCs w:val="24"/>
        </w:rPr>
        <w:t>)</w:t>
      </w:r>
      <w:r w:rsidR="00FC182A" w:rsidRPr="000204E6">
        <w:rPr>
          <w:rFonts w:ascii="Arial Narrow" w:hAnsi="Arial Narrow"/>
          <w:sz w:val="24"/>
          <w:szCs w:val="24"/>
        </w:rPr>
        <w:t>,</w:t>
      </w:r>
      <w:r w:rsidRPr="000204E6">
        <w:rPr>
          <w:rFonts w:ascii="Arial Narrow" w:hAnsi="Arial Narrow"/>
          <w:sz w:val="24"/>
          <w:szCs w:val="24"/>
        </w:rPr>
        <w:t xml:space="preserve"> </w:t>
      </w:r>
      <w:r w:rsidR="00FC182A" w:rsidRPr="000204E6">
        <w:rPr>
          <w:rFonts w:ascii="Arial Narrow" w:hAnsi="Arial Narrow"/>
          <w:sz w:val="24"/>
          <w:szCs w:val="24"/>
        </w:rPr>
        <w:t xml:space="preserve">or a business with strong focus on R&amp;D, </w:t>
      </w:r>
      <w:r w:rsidRPr="000204E6">
        <w:rPr>
          <w:rFonts w:ascii="Arial Narrow" w:hAnsi="Arial Narrow"/>
          <w:sz w:val="24"/>
          <w:szCs w:val="24"/>
        </w:rPr>
        <w:t xml:space="preserve">during which negative GVA can be generated as no income is being generated at a time when costs are being incurred. </w:t>
      </w:r>
      <w:r w:rsidR="00644CDD">
        <w:rPr>
          <w:rFonts w:ascii="Arial Narrow" w:hAnsi="Arial Narrow"/>
          <w:sz w:val="24"/>
          <w:szCs w:val="24"/>
        </w:rPr>
        <w:t xml:space="preserve"> </w:t>
      </w:r>
    </w:p>
    <w:p w:rsidR="0078064D" w:rsidRDefault="0078064D" w:rsidP="00E4679D">
      <w:pPr>
        <w:jc w:val="both"/>
        <w:rPr>
          <w:rFonts w:ascii="Arial Narrow" w:hAnsi="Arial Narrow"/>
          <w:b/>
          <w:sz w:val="28"/>
          <w:szCs w:val="28"/>
        </w:rPr>
      </w:pPr>
    </w:p>
    <w:p w:rsidR="0078064D" w:rsidRDefault="0078064D" w:rsidP="00E4679D">
      <w:pPr>
        <w:jc w:val="both"/>
        <w:rPr>
          <w:rFonts w:ascii="Arial Narrow" w:hAnsi="Arial Narrow"/>
          <w:b/>
          <w:sz w:val="28"/>
          <w:szCs w:val="28"/>
        </w:rPr>
      </w:pPr>
    </w:p>
    <w:p w:rsidR="00E4679D" w:rsidRPr="000204E6" w:rsidRDefault="00E4679D" w:rsidP="00E4679D">
      <w:pPr>
        <w:jc w:val="both"/>
        <w:rPr>
          <w:rFonts w:ascii="Arial Narrow" w:hAnsi="Arial Narrow"/>
          <w:b/>
          <w:sz w:val="28"/>
          <w:szCs w:val="28"/>
        </w:rPr>
      </w:pPr>
      <w:r w:rsidRPr="000204E6">
        <w:rPr>
          <w:rFonts w:ascii="Arial Narrow" w:hAnsi="Arial Narrow"/>
          <w:b/>
          <w:sz w:val="28"/>
          <w:szCs w:val="28"/>
        </w:rPr>
        <w:lastRenderedPageBreak/>
        <w:t>How do we measure GVA impacts?</w:t>
      </w:r>
    </w:p>
    <w:p w:rsidR="00C90DA8" w:rsidRDefault="00E4679D" w:rsidP="00E4679D">
      <w:pPr>
        <w:jc w:val="both"/>
        <w:rPr>
          <w:rFonts w:ascii="Arial Narrow" w:hAnsi="Arial Narrow"/>
          <w:sz w:val="24"/>
          <w:szCs w:val="24"/>
        </w:rPr>
      </w:pPr>
      <w:r w:rsidRPr="000204E6">
        <w:rPr>
          <w:rFonts w:ascii="Arial Narrow" w:hAnsi="Arial Narrow"/>
          <w:sz w:val="24"/>
          <w:szCs w:val="24"/>
        </w:rPr>
        <w:t>GVA can be measured in a number of ways</w:t>
      </w:r>
      <w:r w:rsidR="00C90DA8" w:rsidRPr="000204E6">
        <w:rPr>
          <w:rFonts w:ascii="Arial Narrow" w:hAnsi="Arial Narrow"/>
          <w:sz w:val="24"/>
          <w:szCs w:val="24"/>
        </w:rPr>
        <w:t xml:space="preserve">. </w:t>
      </w:r>
      <w:r w:rsidR="0055761B">
        <w:rPr>
          <w:rFonts w:ascii="Arial Narrow" w:hAnsi="Arial Narrow"/>
          <w:sz w:val="24"/>
          <w:szCs w:val="24"/>
        </w:rPr>
        <w:t xml:space="preserve"> </w:t>
      </w:r>
      <w:r w:rsidR="00C90DA8" w:rsidRPr="000204E6">
        <w:rPr>
          <w:rFonts w:ascii="Arial Narrow" w:hAnsi="Arial Narrow"/>
          <w:sz w:val="24"/>
          <w:szCs w:val="24"/>
        </w:rPr>
        <w:t xml:space="preserve">For </w:t>
      </w:r>
      <w:r w:rsidR="00FC182A" w:rsidRPr="000204E6">
        <w:rPr>
          <w:rFonts w:ascii="Arial Narrow" w:hAnsi="Arial Narrow"/>
          <w:sz w:val="24"/>
          <w:szCs w:val="24"/>
        </w:rPr>
        <w:t xml:space="preserve">reasons of </w:t>
      </w:r>
      <w:r w:rsidR="00C90DA8" w:rsidRPr="000204E6">
        <w:rPr>
          <w:rFonts w:ascii="Arial Narrow" w:hAnsi="Arial Narrow"/>
          <w:sz w:val="24"/>
          <w:szCs w:val="24"/>
        </w:rPr>
        <w:t>robustness</w:t>
      </w:r>
      <w:r w:rsidR="00B11086" w:rsidRPr="000204E6">
        <w:rPr>
          <w:rFonts w:ascii="Arial Narrow" w:hAnsi="Arial Narrow"/>
          <w:sz w:val="24"/>
          <w:szCs w:val="24"/>
        </w:rPr>
        <w:t>, if at all possible, the preferred method of calculating GVA should be to build this up from company data</w:t>
      </w:r>
      <w:r w:rsidR="00694346" w:rsidRPr="000204E6">
        <w:rPr>
          <w:rFonts w:ascii="Arial Narrow" w:hAnsi="Arial Narrow"/>
          <w:sz w:val="24"/>
          <w:szCs w:val="24"/>
        </w:rPr>
        <w:t>,</w:t>
      </w:r>
      <w:r w:rsidR="00FC182A" w:rsidRPr="000204E6">
        <w:rPr>
          <w:rFonts w:ascii="Arial Narrow" w:hAnsi="Arial Narrow"/>
          <w:sz w:val="24"/>
          <w:szCs w:val="24"/>
        </w:rPr>
        <w:t xml:space="preserve"> </w:t>
      </w:r>
      <w:r w:rsidR="001B4E10" w:rsidRPr="000204E6">
        <w:rPr>
          <w:rFonts w:ascii="Arial Narrow" w:hAnsi="Arial Narrow"/>
          <w:sz w:val="24"/>
          <w:szCs w:val="24"/>
        </w:rPr>
        <w:t>collected either using</w:t>
      </w:r>
      <w:r w:rsidR="00FC182A" w:rsidRPr="000204E6">
        <w:rPr>
          <w:rFonts w:ascii="Arial Narrow" w:hAnsi="Arial Narrow"/>
          <w:sz w:val="24"/>
          <w:szCs w:val="24"/>
        </w:rPr>
        <w:t xml:space="preserve"> </w:t>
      </w:r>
      <w:r w:rsidR="00C90DA8" w:rsidRPr="000204E6">
        <w:rPr>
          <w:rFonts w:ascii="Arial Narrow" w:hAnsi="Arial Narrow"/>
          <w:sz w:val="24"/>
          <w:szCs w:val="24"/>
        </w:rPr>
        <w:t xml:space="preserve">SE’s </w:t>
      </w:r>
      <w:r w:rsidR="00C90DA8" w:rsidRPr="000204E6">
        <w:rPr>
          <w:rFonts w:ascii="Arial Narrow" w:hAnsi="Arial Narrow"/>
          <w:b/>
          <w:sz w:val="24"/>
          <w:szCs w:val="24"/>
        </w:rPr>
        <w:t>standard question</w:t>
      </w:r>
      <w:r w:rsidR="001B4E10" w:rsidRPr="000204E6">
        <w:rPr>
          <w:rFonts w:ascii="Arial Narrow" w:hAnsi="Arial Narrow"/>
          <w:sz w:val="24"/>
          <w:szCs w:val="24"/>
        </w:rPr>
        <w:t xml:space="preserve"> set or sourced from company accounts. </w:t>
      </w:r>
    </w:p>
    <w:p w:rsidR="00051A70" w:rsidRPr="000204E6" w:rsidRDefault="00051A70" w:rsidP="00051A70">
      <w:pPr>
        <w:jc w:val="both"/>
        <w:rPr>
          <w:rFonts w:ascii="Arial Narrow" w:hAnsi="Arial Narrow"/>
          <w:sz w:val="24"/>
          <w:szCs w:val="24"/>
        </w:rPr>
      </w:pPr>
      <w:r w:rsidRPr="000204E6">
        <w:rPr>
          <w:rFonts w:ascii="Arial Narrow" w:hAnsi="Arial Narrow"/>
          <w:sz w:val="24"/>
          <w:szCs w:val="24"/>
        </w:rPr>
        <w:t xml:space="preserve">Please note that the approaches to measuring GVA described below will not necessarily apply to pre-commercial activity (such as the product development phase of a new start company), or a business with strong focus on R&amp;D, during which negative GVA can be generated as no income is being generated at a time when costs are being incurred. </w:t>
      </w:r>
      <w:r>
        <w:rPr>
          <w:rFonts w:ascii="Arial Narrow" w:hAnsi="Arial Narrow"/>
          <w:sz w:val="24"/>
          <w:szCs w:val="24"/>
        </w:rPr>
        <w:t xml:space="preserve"> In such instances it may be </w:t>
      </w:r>
      <w:r w:rsidR="0055761B">
        <w:rPr>
          <w:rFonts w:ascii="Arial Narrow" w:hAnsi="Arial Narrow"/>
          <w:sz w:val="24"/>
          <w:szCs w:val="24"/>
        </w:rPr>
        <w:t>preferable</w:t>
      </w:r>
      <w:r>
        <w:rPr>
          <w:rFonts w:ascii="Arial Narrow" w:hAnsi="Arial Narrow"/>
          <w:sz w:val="24"/>
          <w:szCs w:val="24"/>
        </w:rPr>
        <w:t xml:space="preserve"> to use a common</w:t>
      </w:r>
      <w:r w:rsidR="0055761B">
        <w:rPr>
          <w:rFonts w:ascii="Arial Narrow" w:hAnsi="Arial Narrow"/>
          <w:sz w:val="24"/>
          <w:szCs w:val="24"/>
        </w:rPr>
        <w:t xml:space="preserve"> </w:t>
      </w:r>
      <w:r>
        <w:rPr>
          <w:rFonts w:ascii="Arial Narrow" w:hAnsi="Arial Narrow"/>
          <w:sz w:val="24"/>
          <w:szCs w:val="24"/>
        </w:rPr>
        <w:t>sense approach and base any GVA calculations on employee costs alone. This is explored in greater detail in the Pre-revenue Impacts information sheet.</w:t>
      </w:r>
    </w:p>
    <w:p w:rsidR="00C90DA8" w:rsidRPr="000204E6" w:rsidRDefault="00C90DA8" w:rsidP="00E4679D">
      <w:pPr>
        <w:jc w:val="both"/>
        <w:rPr>
          <w:rFonts w:ascii="Arial Narrow" w:hAnsi="Arial Narrow"/>
          <w:sz w:val="24"/>
          <w:szCs w:val="24"/>
        </w:rPr>
      </w:pPr>
      <w:r w:rsidRPr="000204E6">
        <w:rPr>
          <w:rFonts w:ascii="Arial Narrow" w:hAnsi="Arial Narrow"/>
          <w:sz w:val="24"/>
          <w:szCs w:val="24"/>
        </w:rPr>
        <w:t xml:space="preserve">GVA at the firm level can be estimated </w:t>
      </w:r>
      <w:r w:rsidR="00160CF1" w:rsidRPr="000204E6">
        <w:rPr>
          <w:rFonts w:ascii="Arial Narrow" w:hAnsi="Arial Narrow"/>
          <w:sz w:val="24"/>
          <w:szCs w:val="24"/>
        </w:rPr>
        <w:t>in two ways (Box 1).</w:t>
      </w:r>
      <w:r w:rsidR="001B4E10" w:rsidRPr="000204E6">
        <w:rPr>
          <w:rFonts w:ascii="Arial Narrow" w:hAnsi="Arial Narrow"/>
          <w:sz w:val="24"/>
          <w:szCs w:val="24"/>
        </w:rPr>
        <w:t xml:space="preserve"> </w:t>
      </w:r>
      <w:r w:rsidR="0055761B">
        <w:rPr>
          <w:rFonts w:ascii="Arial Narrow" w:hAnsi="Arial Narrow"/>
          <w:sz w:val="24"/>
          <w:szCs w:val="24"/>
        </w:rPr>
        <w:t xml:space="preserve"> </w:t>
      </w:r>
      <w:r w:rsidR="001B4E10" w:rsidRPr="000204E6">
        <w:rPr>
          <w:rFonts w:ascii="Arial Narrow" w:hAnsi="Arial Narrow"/>
          <w:sz w:val="24"/>
          <w:szCs w:val="24"/>
        </w:rPr>
        <w:t>Both methods will result in the same GVA value.</w:t>
      </w:r>
    </w:p>
    <w:p w:rsidR="00160CF1" w:rsidRPr="000204E6" w:rsidRDefault="00160CF1" w:rsidP="00E4679D">
      <w:pPr>
        <w:jc w:val="both"/>
        <w:rPr>
          <w:rFonts w:ascii="Arial Narrow" w:hAnsi="Arial Narrow"/>
          <w:b/>
          <w:sz w:val="24"/>
          <w:szCs w:val="24"/>
        </w:rPr>
      </w:pPr>
      <w:r w:rsidRPr="000204E6">
        <w:rPr>
          <w:rFonts w:ascii="Arial Narrow" w:hAnsi="Arial Narrow"/>
          <w:b/>
          <w:sz w:val="24"/>
          <w:szCs w:val="24"/>
        </w:rPr>
        <w:t>BOX 1</w:t>
      </w:r>
      <w:r w:rsidRPr="000204E6">
        <w:rPr>
          <w:rFonts w:ascii="Arial Narrow" w:hAnsi="Arial Narrow"/>
          <w:b/>
          <w:sz w:val="24"/>
          <w:szCs w:val="24"/>
        </w:rPr>
        <w:tab/>
      </w:r>
      <w:r w:rsidRPr="000204E6">
        <w:rPr>
          <w:rFonts w:ascii="Arial Narrow" w:hAnsi="Arial Narrow"/>
          <w:b/>
          <w:sz w:val="24"/>
          <w:szCs w:val="24"/>
        </w:rPr>
        <w:tab/>
      </w:r>
      <w:r w:rsidRPr="000204E6">
        <w:rPr>
          <w:rFonts w:ascii="Arial Narrow" w:hAnsi="Arial Narrow"/>
          <w:b/>
          <w:sz w:val="24"/>
          <w:szCs w:val="24"/>
        </w:rPr>
        <w:tab/>
      </w:r>
      <w:r w:rsidR="000204E6">
        <w:rPr>
          <w:rFonts w:ascii="Arial Narrow" w:hAnsi="Arial Narrow"/>
          <w:b/>
          <w:sz w:val="24"/>
          <w:szCs w:val="24"/>
        </w:rPr>
        <w:tab/>
      </w:r>
      <w:r w:rsidRPr="000204E6">
        <w:rPr>
          <w:rFonts w:ascii="Arial Narrow" w:hAnsi="Arial Narrow"/>
          <w:b/>
          <w:sz w:val="24"/>
          <w:szCs w:val="24"/>
          <w:u w:val="single"/>
        </w:rPr>
        <w:t>Estimating GVA at the Firm Level</w:t>
      </w:r>
    </w:p>
    <w:p w:rsidR="005913E7" w:rsidRPr="000204E6" w:rsidRDefault="005913E7" w:rsidP="00DA0242">
      <w:pPr>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0204E6">
        <w:rPr>
          <w:rFonts w:ascii="Arial Narrow" w:hAnsi="Arial Narrow" w:cs="Arial"/>
          <w:b/>
          <w:sz w:val="24"/>
          <w:szCs w:val="24"/>
        </w:rPr>
        <w:t>Method 1:</w:t>
      </w:r>
    </w:p>
    <w:p w:rsidR="00694346" w:rsidRPr="000204E6" w:rsidRDefault="00694346" w:rsidP="0069434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bCs/>
          <w:sz w:val="24"/>
          <w:szCs w:val="24"/>
        </w:rPr>
      </w:pPr>
      <w:r w:rsidRPr="000204E6">
        <w:rPr>
          <w:rFonts w:ascii="Arial Narrow" w:hAnsi="Arial Narrow" w:cs="Arial"/>
          <w:sz w:val="24"/>
          <w:szCs w:val="24"/>
        </w:rPr>
        <w:t xml:space="preserve">GVA </w:t>
      </w:r>
      <w:r w:rsidRPr="000204E6">
        <w:rPr>
          <w:rFonts w:ascii="Arial Narrow" w:hAnsi="Arial Narrow" w:cs="Arial"/>
          <w:bCs/>
          <w:sz w:val="24"/>
          <w:szCs w:val="24"/>
        </w:rPr>
        <w:t>= Operating Profit</w:t>
      </w:r>
      <w:r w:rsidR="00B11086" w:rsidRPr="000204E6">
        <w:rPr>
          <w:rStyle w:val="FootnoteReference"/>
          <w:rFonts w:ascii="Arial Narrow" w:hAnsi="Arial Narrow" w:cs="Arial"/>
          <w:bCs/>
          <w:szCs w:val="24"/>
        </w:rPr>
        <w:footnoteReference w:id="2"/>
      </w:r>
      <w:r w:rsidRPr="000204E6">
        <w:rPr>
          <w:rFonts w:ascii="Arial Narrow" w:hAnsi="Arial Narrow" w:cs="Arial"/>
          <w:bCs/>
          <w:sz w:val="24"/>
          <w:szCs w:val="24"/>
        </w:rPr>
        <w:t xml:space="preserve"> (before tax) + Employee Costs</w:t>
      </w:r>
      <w:r w:rsidRPr="000204E6">
        <w:rPr>
          <w:rStyle w:val="FootnoteReference"/>
          <w:rFonts w:ascii="Arial Narrow" w:hAnsi="Arial Narrow" w:cs="Arial"/>
          <w:bCs/>
          <w:szCs w:val="16"/>
        </w:rPr>
        <w:footnoteReference w:id="3"/>
      </w:r>
      <w:r w:rsidRPr="000204E6">
        <w:rPr>
          <w:rFonts w:ascii="Arial Narrow" w:hAnsi="Arial Narrow" w:cs="Arial"/>
          <w:bCs/>
          <w:sz w:val="16"/>
          <w:szCs w:val="16"/>
        </w:rPr>
        <w:t xml:space="preserve"> </w:t>
      </w:r>
      <w:r w:rsidRPr="000204E6">
        <w:rPr>
          <w:rFonts w:ascii="Arial Narrow" w:hAnsi="Arial Narrow" w:cs="Arial"/>
          <w:bCs/>
          <w:sz w:val="24"/>
          <w:szCs w:val="24"/>
        </w:rPr>
        <w:t>+ Depreciation + Amortisation</w:t>
      </w:r>
      <w:r w:rsidRPr="000204E6">
        <w:rPr>
          <w:rStyle w:val="FootnoteReference"/>
          <w:rFonts w:ascii="Arial Narrow" w:hAnsi="Arial Narrow" w:cs="Arial"/>
          <w:bCs/>
          <w:szCs w:val="16"/>
        </w:rPr>
        <w:footnoteReference w:id="4"/>
      </w:r>
      <w:r w:rsidR="005B3B72" w:rsidRPr="000204E6">
        <w:rPr>
          <w:rFonts w:ascii="Arial Narrow" w:hAnsi="Arial Narrow" w:cs="Arial"/>
          <w:bCs/>
          <w:sz w:val="24"/>
          <w:szCs w:val="24"/>
        </w:rPr>
        <w:t xml:space="preserve">, </w:t>
      </w:r>
      <w:r w:rsidR="005B3B72" w:rsidRPr="000204E6">
        <w:rPr>
          <w:rStyle w:val="FootnoteReference"/>
          <w:rFonts w:ascii="Arial Narrow" w:hAnsi="Arial Narrow" w:cs="Arial"/>
          <w:bCs/>
          <w:szCs w:val="24"/>
        </w:rPr>
        <w:footnoteReference w:id="5"/>
      </w:r>
    </w:p>
    <w:p w:rsidR="00DA0242" w:rsidRPr="000204E6" w:rsidRDefault="005913E7" w:rsidP="00DA0242">
      <w:pPr>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0204E6">
        <w:rPr>
          <w:rFonts w:ascii="Arial Narrow" w:hAnsi="Arial Narrow" w:cs="Arial"/>
          <w:b/>
          <w:sz w:val="24"/>
          <w:szCs w:val="24"/>
        </w:rPr>
        <w:t>Method 2:</w:t>
      </w:r>
    </w:p>
    <w:p w:rsidR="00694346" w:rsidRPr="000204E6" w:rsidRDefault="00694346" w:rsidP="00DA0242">
      <w:pPr>
        <w:pBdr>
          <w:top w:val="single" w:sz="4" w:space="1" w:color="auto"/>
          <w:left w:val="single" w:sz="4" w:space="4" w:color="auto"/>
          <w:bottom w:val="single" w:sz="4" w:space="1" w:color="auto"/>
          <w:right w:val="single" w:sz="4" w:space="4" w:color="auto"/>
        </w:pBdr>
        <w:jc w:val="both"/>
        <w:rPr>
          <w:rFonts w:ascii="Arial Narrow" w:hAnsi="Arial Narrow" w:cs="Arial"/>
          <w:sz w:val="24"/>
          <w:szCs w:val="24"/>
        </w:rPr>
      </w:pPr>
      <w:r w:rsidRPr="000204E6">
        <w:rPr>
          <w:rFonts w:ascii="Arial Narrow" w:hAnsi="Arial Narrow" w:cs="Arial"/>
          <w:sz w:val="24"/>
          <w:szCs w:val="24"/>
        </w:rPr>
        <w:t xml:space="preserve">GVA = Turnover (or sales) less the </w:t>
      </w:r>
      <w:r w:rsidRPr="000204E6">
        <w:rPr>
          <w:rFonts w:ascii="Arial Narrow" w:hAnsi="Arial Narrow" w:cs="Arial"/>
          <w:bCs/>
          <w:sz w:val="24"/>
          <w:szCs w:val="24"/>
        </w:rPr>
        <w:t>cost of bought in goods &amp; services (excl. employee costs)</w:t>
      </w:r>
      <w:r w:rsidRPr="000204E6">
        <w:rPr>
          <w:rStyle w:val="FootnoteReference"/>
          <w:rFonts w:ascii="Arial Narrow" w:hAnsi="Arial Narrow" w:cs="Arial"/>
          <w:bCs/>
          <w:szCs w:val="16"/>
        </w:rPr>
        <w:footnoteReference w:id="6"/>
      </w:r>
    </w:p>
    <w:p w:rsidR="00E4679D" w:rsidRPr="000204E6" w:rsidRDefault="001C0209" w:rsidP="00E4679D">
      <w:pPr>
        <w:pStyle w:val="Default"/>
        <w:jc w:val="both"/>
        <w:rPr>
          <w:rFonts w:ascii="Arial Narrow" w:hAnsi="Arial Narrow"/>
        </w:rPr>
      </w:pPr>
      <w:r w:rsidRPr="000204E6">
        <w:rPr>
          <w:rFonts w:ascii="Arial Narrow" w:hAnsi="Arial Narrow"/>
        </w:rPr>
        <w:t>It should be noted that employee costs should be the total costs to the employer of employing someone</w:t>
      </w:r>
      <w:r w:rsidR="000C7666" w:rsidRPr="000204E6">
        <w:rPr>
          <w:rFonts w:ascii="Arial Narrow" w:hAnsi="Arial Narrow"/>
        </w:rPr>
        <w:t>,</w:t>
      </w:r>
      <w:r w:rsidRPr="000204E6">
        <w:rPr>
          <w:rFonts w:ascii="Arial Narrow" w:hAnsi="Arial Narrow"/>
        </w:rPr>
        <w:t xml:space="preserve"> that is wages, pension and National Insurance contributions and any other costs directly associated with employment such as bonuses and overtime. </w:t>
      </w:r>
      <w:r w:rsidR="0055761B">
        <w:rPr>
          <w:rFonts w:ascii="Arial Narrow" w:hAnsi="Arial Narrow"/>
        </w:rPr>
        <w:t xml:space="preserve"> </w:t>
      </w:r>
      <w:r w:rsidRPr="000204E6">
        <w:rPr>
          <w:rFonts w:ascii="Arial Narrow" w:hAnsi="Arial Narrow"/>
        </w:rPr>
        <w:t xml:space="preserve">At times it may be difficult to get accurate information on these total costs. </w:t>
      </w:r>
      <w:r w:rsidR="0055761B">
        <w:rPr>
          <w:rFonts w:ascii="Arial Narrow" w:hAnsi="Arial Narrow"/>
        </w:rPr>
        <w:t xml:space="preserve"> </w:t>
      </w:r>
      <w:r w:rsidRPr="000204E6">
        <w:rPr>
          <w:rFonts w:ascii="Arial Narrow" w:hAnsi="Arial Narrow"/>
        </w:rPr>
        <w:t xml:space="preserve">If all that is available is data on gross wages and salaries (that is the gross amount paid to the employee) then a broad rule of thumb is to gross these figures up by 15%. This is based on the ratio between the </w:t>
      </w:r>
      <w:r w:rsidR="004C3FEC" w:rsidRPr="000204E6">
        <w:rPr>
          <w:rFonts w:ascii="Arial Narrow" w:hAnsi="Arial Narrow"/>
        </w:rPr>
        <w:t xml:space="preserve">total </w:t>
      </w:r>
      <w:r w:rsidR="0055761B">
        <w:rPr>
          <w:rFonts w:ascii="Arial Narrow" w:hAnsi="Arial Narrow"/>
        </w:rPr>
        <w:t>Gross Wages and Salaries (£14</w:t>
      </w:r>
      <w:r w:rsidR="0078064D">
        <w:rPr>
          <w:rFonts w:ascii="Arial Narrow" w:hAnsi="Arial Narrow"/>
        </w:rPr>
        <w:t>4bn</w:t>
      </w:r>
      <w:r w:rsidR="0055761B">
        <w:rPr>
          <w:rFonts w:ascii="Arial Narrow" w:hAnsi="Arial Narrow"/>
        </w:rPr>
        <w:t>)</w:t>
      </w:r>
      <w:r w:rsidRPr="000204E6">
        <w:rPr>
          <w:rFonts w:ascii="Arial Narrow" w:hAnsi="Arial Narrow"/>
        </w:rPr>
        <w:t xml:space="preserve"> and Total Labour Costs (£</w:t>
      </w:r>
      <w:r w:rsidR="0078064D">
        <w:rPr>
          <w:rFonts w:ascii="Arial Narrow" w:hAnsi="Arial Narrow"/>
        </w:rPr>
        <w:t>166bn</w:t>
      </w:r>
      <w:r w:rsidR="0055761B">
        <w:rPr>
          <w:rFonts w:ascii="Arial Narrow" w:hAnsi="Arial Narrow"/>
        </w:rPr>
        <w:t>)</w:t>
      </w:r>
      <w:r w:rsidRPr="000204E6">
        <w:rPr>
          <w:rFonts w:ascii="Arial Narrow" w:hAnsi="Arial Narrow"/>
        </w:rPr>
        <w:t xml:space="preserve"> between 2008 and </w:t>
      </w:r>
      <w:r w:rsidR="004C3FEC" w:rsidRPr="000204E6">
        <w:rPr>
          <w:rFonts w:ascii="Arial Narrow" w:hAnsi="Arial Narrow"/>
        </w:rPr>
        <w:t>201</w:t>
      </w:r>
      <w:r w:rsidR="0078064D">
        <w:rPr>
          <w:rFonts w:ascii="Arial Narrow" w:hAnsi="Arial Narrow"/>
        </w:rPr>
        <w:t>4</w:t>
      </w:r>
      <w:r w:rsidR="004C3FEC" w:rsidRPr="000204E6">
        <w:rPr>
          <w:rFonts w:ascii="Arial Narrow" w:hAnsi="Arial Narrow"/>
        </w:rPr>
        <w:t xml:space="preserve"> </w:t>
      </w:r>
      <w:r w:rsidRPr="000204E6">
        <w:rPr>
          <w:rFonts w:ascii="Arial Narrow" w:hAnsi="Arial Narrow"/>
        </w:rPr>
        <w:t>for all Scottish employees (excluding agriculture, finance and parts of the public sector)</w:t>
      </w:r>
      <w:r w:rsidR="008E2E25" w:rsidRPr="000204E6">
        <w:rPr>
          <w:rStyle w:val="FootnoteReference"/>
          <w:rFonts w:ascii="Arial Narrow" w:hAnsi="Arial Narrow"/>
        </w:rPr>
        <w:footnoteReference w:id="7"/>
      </w:r>
      <w:r w:rsidRPr="000204E6">
        <w:rPr>
          <w:rFonts w:ascii="Arial Narrow" w:hAnsi="Arial Narrow"/>
        </w:rPr>
        <w:t xml:space="preserve">. </w:t>
      </w:r>
      <w:r w:rsidR="0055761B">
        <w:rPr>
          <w:rFonts w:ascii="Arial Narrow" w:hAnsi="Arial Narrow"/>
        </w:rPr>
        <w:t xml:space="preserve"> </w:t>
      </w:r>
      <w:r w:rsidR="008E2E25" w:rsidRPr="000204E6">
        <w:rPr>
          <w:rFonts w:ascii="Arial Narrow" w:hAnsi="Arial Narrow"/>
        </w:rPr>
        <w:t xml:space="preserve">Such an average ratio may be too low for some companies and too high for others. </w:t>
      </w:r>
      <w:r w:rsidR="0055761B">
        <w:rPr>
          <w:rFonts w:ascii="Arial Narrow" w:hAnsi="Arial Narrow"/>
        </w:rPr>
        <w:t xml:space="preserve"> </w:t>
      </w:r>
      <w:r w:rsidR="008E2E25" w:rsidRPr="000204E6">
        <w:rPr>
          <w:rFonts w:ascii="Arial Narrow" w:hAnsi="Arial Narrow"/>
        </w:rPr>
        <w:t>However, if company specific information is not available then it is probably the easiest adjustment to make.</w:t>
      </w:r>
    </w:p>
    <w:p w:rsidR="001C0209" w:rsidRPr="000204E6" w:rsidRDefault="001C0209" w:rsidP="00E4679D">
      <w:pPr>
        <w:pStyle w:val="Default"/>
        <w:jc w:val="both"/>
        <w:rPr>
          <w:rFonts w:ascii="Arial Narrow" w:hAnsi="Arial Narrow"/>
        </w:rPr>
      </w:pPr>
    </w:p>
    <w:p w:rsidR="00B83F41" w:rsidRPr="000204E6" w:rsidRDefault="005913E7" w:rsidP="008B2F68">
      <w:pPr>
        <w:jc w:val="both"/>
        <w:rPr>
          <w:rFonts w:ascii="Arial Narrow" w:hAnsi="Arial Narrow"/>
          <w:sz w:val="24"/>
          <w:szCs w:val="24"/>
        </w:rPr>
      </w:pPr>
      <w:r w:rsidRPr="000204E6">
        <w:rPr>
          <w:rFonts w:ascii="Arial Narrow" w:hAnsi="Arial Narrow"/>
          <w:sz w:val="24"/>
          <w:szCs w:val="24"/>
        </w:rPr>
        <w:lastRenderedPageBreak/>
        <w:t>Where company level data is not available it is possible to derive estimates based on proxy values</w:t>
      </w:r>
      <w:r w:rsidR="001B4E10" w:rsidRPr="000204E6">
        <w:rPr>
          <w:rFonts w:ascii="Arial Narrow" w:hAnsi="Arial Narrow"/>
          <w:sz w:val="24"/>
          <w:szCs w:val="24"/>
        </w:rPr>
        <w:t xml:space="preserve"> (</w:t>
      </w:r>
      <w:smartTag w:uri="urn:schemas-microsoft-com:office:smarttags" w:element="City">
        <w:smartTag w:uri="urn:schemas-microsoft-com:office:smarttags" w:element="Street">
          <w:r w:rsidR="00160CF1" w:rsidRPr="000204E6">
            <w:rPr>
              <w:rFonts w:ascii="Arial Narrow" w:hAnsi="Arial Narrow"/>
              <w:sz w:val="24"/>
              <w:szCs w:val="24"/>
            </w:rPr>
            <w:t>Box</w:t>
          </w:r>
        </w:smartTag>
        <w:r w:rsidR="00160CF1" w:rsidRPr="000204E6">
          <w:rPr>
            <w:rFonts w:ascii="Arial Narrow" w:hAnsi="Arial Narrow"/>
            <w:sz w:val="24"/>
            <w:szCs w:val="24"/>
          </w:rPr>
          <w:t xml:space="preserve"> 2</w:t>
        </w:r>
      </w:smartTag>
      <w:r w:rsidR="001B4E10" w:rsidRPr="000204E6">
        <w:rPr>
          <w:rFonts w:ascii="Arial Narrow" w:hAnsi="Arial Narrow"/>
          <w:sz w:val="24"/>
          <w:szCs w:val="24"/>
        </w:rPr>
        <w:t>)</w:t>
      </w:r>
      <w:r w:rsidRPr="000204E6">
        <w:rPr>
          <w:rFonts w:ascii="Arial Narrow" w:hAnsi="Arial Narrow"/>
          <w:sz w:val="24"/>
          <w:szCs w:val="24"/>
        </w:rPr>
        <w:t xml:space="preserve">. </w:t>
      </w:r>
      <w:r w:rsidR="0055761B">
        <w:rPr>
          <w:rFonts w:ascii="Arial Narrow" w:hAnsi="Arial Narrow"/>
          <w:sz w:val="24"/>
          <w:szCs w:val="24"/>
        </w:rPr>
        <w:t xml:space="preserve"> </w:t>
      </w:r>
      <w:r w:rsidRPr="000204E6">
        <w:rPr>
          <w:rFonts w:ascii="Arial Narrow" w:hAnsi="Arial Narrow"/>
          <w:sz w:val="24"/>
          <w:szCs w:val="24"/>
        </w:rPr>
        <w:t xml:space="preserve">These estimates use sectoral averages and </w:t>
      </w:r>
      <w:r w:rsidR="00420276" w:rsidRPr="000204E6">
        <w:rPr>
          <w:rFonts w:ascii="Arial Narrow" w:hAnsi="Arial Narrow"/>
          <w:sz w:val="24"/>
          <w:szCs w:val="24"/>
        </w:rPr>
        <w:t>at best will provide</w:t>
      </w:r>
      <w:r w:rsidR="00682225" w:rsidRPr="000204E6">
        <w:rPr>
          <w:rFonts w:ascii="Arial Narrow" w:hAnsi="Arial Narrow"/>
          <w:sz w:val="24"/>
          <w:szCs w:val="24"/>
        </w:rPr>
        <w:t xml:space="preserve"> a</w:t>
      </w:r>
      <w:r w:rsidR="00420276" w:rsidRPr="000204E6">
        <w:rPr>
          <w:rFonts w:ascii="Arial Narrow" w:hAnsi="Arial Narrow"/>
          <w:sz w:val="24"/>
          <w:szCs w:val="24"/>
        </w:rPr>
        <w:t xml:space="preserve"> loose indicat</w:t>
      </w:r>
      <w:r w:rsidR="00682225" w:rsidRPr="000204E6">
        <w:rPr>
          <w:rFonts w:ascii="Arial Narrow" w:hAnsi="Arial Narrow"/>
          <w:sz w:val="24"/>
          <w:szCs w:val="24"/>
        </w:rPr>
        <w:t>ion</w:t>
      </w:r>
      <w:r w:rsidR="00420276" w:rsidRPr="000204E6">
        <w:rPr>
          <w:rFonts w:ascii="Arial Narrow" w:hAnsi="Arial Narrow"/>
          <w:sz w:val="24"/>
          <w:szCs w:val="24"/>
        </w:rPr>
        <w:t xml:space="preserve"> o</w:t>
      </w:r>
      <w:r w:rsidR="007214DB" w:rsidRPr="000204E6">
        <w:rPr>
          <w:rFonts w:ascii="Arial Narrow" w:hAnsi="Arial Narrow"/>
          <w:sz w:val="24"/>
          <w:szCs w:val="24"/>
        </w:rPr>
        <w:t>f GVA</w:t>
      </w:r>
      <w:r w:rsidR="008B2F68" w:rsidRPr="000204E6">
        <w:rPr>
          <w:rFonts w:ascii="Arial Narrow" w:hAnsi="Arial Narrow"/>
          <w:sz w:val="24"/>
          <w:szCs w:val="24"/>
        </w:rPr>
        <w:t xml:space="preserve"> and should only be used </w:t>
      </w:r>
      <w:r w:rsidR="001B4E10" w:rsidRPr="000204E6">
        <w:rPr>
          <w:rFonts w:ascii="Arial Narrow" w:hAnsi="Arial Narrow"/>
          <w:sz w:val="24"/>
          <w:szCs w:val="24"/>
        </w:rPr>
        <w:t>when the detailed metrics outlined above are not available.</w:t>
      </w:r>
    </w:p>
    <w:p w:rsidR="00E4679D" w:rsidRPr="000204E6" w:rsidRDefault="00160CF1" w:rsidP="00160CF1">
      <w:pPr>
        <w:jc w:val="both"/>
        <w:rPr>
          <w:rFonts w:ascii="Arial Narrow" w:hAnsi="Arial Narrow"/>
          <w:b/>
          <w:sz w:val="24"/>
          <w:szCs w:val="24"/>
        </w:rPr>
      </w:pPr>
      <w:r w:rsidRPr="000204E6">
        <w:rPr>
          <w:rFonts w:ascii="Arial Narrow" w:hAnsi="Arial Narrow"/>
          <w:b/>
          <w:sz w:val="24"/>
          <w:szCs w:val="24"/>
        </w:rPr>
        <w:t>BOX 2</w:t>
      </w:r>
      <w:r w:rsidRPr="000204E6">
        <w:rPr>
          <w:rFonts w:ascii="Arial Narrow" w:hAnsi="Arial Narrow"/>
          <w:b/>
          <w:sz w:val="24"/>
          <w:szCs w:val="24"/>
        </w:rPr>
        <w:tab/>
      </w:r>
      <w:r w:rsidRPr="000204E6">
        <w:rPr>
          <w:rFonts w:ascii="Arial Narrow" w:hAnsi="Arial Narrow"/>
          <w:b/>
          <w:sz w:val="24"/>
          <w:szCs w:val="24"/>
        </w:rPr>
        <w:tab/>
      </w:r>
      <w:r w:rsidRPr="000204E6">
        <w:rPr>
          <w:rFonts w:ascii="Arial Narrow" w:hAnsi="Arial Narrow"/>
          <w:b/>
          <w:sz w:val="24"/>
          <w:szCs w:val="24"/>
        </w:rPr>
        <w:tab/>
      </w:r>
      <w:r w:rsidRPr="000204E6">
        <w:rPr>
          <w:rFonts w:ascii="Arial Narrow" w:hAnsi="Arial Narrow"/>
          <w:b/>
          <w:sz w:val="24"/>
          <w:szCs w:val="24"/>
        </w:rPr>
        <w:tab/>
      </w:r>
      <w:r w:rsidRPr="000204E6">
        <w:rPr>
          <w:rFonts w:ascii="Arial Narrow" w:hAnsi="Arial Narrow"/>
          <w:b/>
          <w:sz w:val="24"/>
          <w:szCs w:val="24"/>
          <w:u w:val="single"/>
        </w:rPr>
        <w:t>Estimating GVA from Proxy Values</w:t>
      </w:r>
    </w:p>
    <w:p w:rsidR="005913E7" w:rsidRPr="000204E6" w:rsidRDefault="005913E7" w:rsidP="005913E7">
      <w:pPr>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0204E6">
        <w:rPr>
          <w:rFonts w:ascii="Arial Narrow" w:hAnsi="Arial Narrow" w:cs="Arial"/>
          <w:b/>
          <w:sz w:val="24"/>
          <w:szCs w:val="24"/>
        </w:rPr>
        <w:t>Method 3:</w:t>
      </w:r>
    </w:p>
    <w:p w:rsidR="005913E7" w:rsidRPr="000204E6" w:rsidRDefault="007214DB" w:rsidP="005913E7">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sidRPr="000204E6">
        <w:rPr>
          <w:rFonts w:ascii="Arial Narrow" w:hAnsi="Arial Narrow" w:cs="Arial"/>
          <w:sz w:val="24"/>
          <w:szCs w:val="24"/>
        </w:rPr>
        <w:t>Where</w:t>
      </w:r>
      <w:r w:rsidR="005913E7" w:rsidRPr="000204E6">
        <w:rPr>
          <w:rFonts w:ascii="Arial Narrow" w:hAnsi="Arial Narrow" w:cs="Arial"/>
          <w:sz w:val="24"/>
          <w:szCs w:val="24"/>
        </w:rPr>
        <w:t xml:space="preserve"> turnover estimates are available</w:t>
      </w:r>
      <w:r w:rsidR="00682225" w:rsidRPr="000204E6">
        <w:rPr>
          <w:rFonts w:ascii="Arial Narrow" w:hAnsi="Arial Narrow" w:cs="Arial"/>
          <w:sz w:val="24"/>
          <w:szCs w:val="24"/>
        </w:rPr>
        <w:t>,</w:t>
      </w:r>
      <w:r w:rsidR="005913E7" w:rsidRPr="000204E6">
        <w:rPr>
          <w:rFonts w:ascii="Arial Narrow" w:hAnsi="Arial Narrow" w:cs="Arial"/>
          <w:sz w:val="24"/>
          <w:szCs w:val="24"/>
        </w:rPr>
        <w:t xml:space="preserve"> these can be converted to GVA </w:t>
      </w:r>
      <w:r w:rsidR="00420276" w:rsidRPr="000204E6">
        <w:rPr>
          <w:rFonts w:ascii="Arial Narrow" w:hAnsi="Arial Narrow" w:cs="Arial"/>
          <w:sz w:val="24"/>
          <w:szCs w:val="24"/>
        </w:rPr>
        <w:t>by determining appropriate sectoral turnover to GVA ratios using</w:t>
      </w:r>
      <w:r w:rsidR="005913E7" w:rsidRPr="000204E6">
        <w:rPr>
          <w:rFonts w:ascii="Arial Narrow" w:hAnsi="Arial Narrow" w:cs="Arial"/>
          <w:sz w:val="24"/>
          <w:szCs w:val="24"/>
        </w:rPr>
        <w:t xml:space="preserve"> secondary data from the</w:t>
      </w:r>
      <w:r w:rsidR="004C3FEC" w:rsidRPr="000204E6">
        <w:rPr>
          <w:rFonts w:ascii="Arial Narrow" w:hAnsi="Arial Narrow" w:cs="Arial"/>
          <w:sz w:val="24"/>
          <w:szCs w:val="24"/>
        </w:rPr>
        <w:t xml:space="preserve"> Scottish Government</w:t>
      </w:r>
      <w:r w:rsidR="004C3FEC" w:rsidRPr="000204E6">
        <w:rPr>
          <w:rStyle w:val="FootnoteReference"/>
          <w:rFonts w:ascii="Arial Narrow" w:hAnsi="Arial Narrow" w:cs="Arial"/>
          <w:szCs w:val="24"/>
        </w:rPr>
        <w:footnoteReference w:id="8"/>
      </w:r>
      <w:r w:rsidR="005913E7" w:rsidRPr="000204E6">
        <w:rPr>
          <w:rFonts w:ascii="Arial Narrow" w:hAnsi="Arial Narrow" w:cs="Arial"/>
          <w:sz w:val="24"/>
          <w:szCs w:val="24"/>
        </w:rPr>
        <w:t xml:space="preserve"> </w:t>
      </w:r>
      <w:r w:rsidR="002C6559" w:rsidRPr="000204E6">
        <w:rPr>
          <w:rFonts w:ascii="Arial Narrow" w:hAnsi="Arial Narrow"/>
          <w:sz w:val="24"/>
          <w:szCs w:val="24"/>
        </w:rPr>
        <w:t xml:space="preserve"> </w:t>
      </w:r>
    </w:p>
    <w:p w:rsidR="005913E7" w:rsidRPr="000204E6" w:rsidRDefault="007214DB" w:rsidP="005913E7">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sidRPr="000204E6">
        <w:rPr>
          <w:rFonts w:ascii="Arial Narrow" w:hAnsi="Arial Narrow" w:cs="Arial"/>
          <w:sz w:val="24"/>
          <w:szCs w:val="24"/>
        </w:rPr>
        <w:t xml:space="preserve">Where </w:t>
      </w:r>
      <w:r w:rsidR="00420276" w:rsidRPr="000204E6">
        <w:rPr>
          <w:rFonts w:ascii="Arial Narrow" w:hAnsi="Arial Narrow" w:cs="Arial"/>
          <w:sz w:val="24"/>
          <w:szCs w:val="24"/>
        </w:rPr>
        <w:t>employment estimates are available</w:t>
      </w:r>
      <w:r w:rsidR="00682225" w:rsidRPr="000204E6">
        <w:rPr>
          <w:rFonts w:ascii="Arial Narrow" w:hAnsi="Arial Narrow" w:cs="Arial"/>
          <w:sz w:val="24"/>
          <w:szCs w:val="24"/>
        </w:rPr>
        <w:t>,</w:t>
      </w:r>
      <w:r w:rsidR="00420276" w:rsidRPr="000204E6">
        <w:rPr>
          <w:rFonts w:ascii="Arial Narrow" w:hAnsi="Arial Narrow" w:cs="Arial"/>
          <w:sz w:val="24"/>
          <w:szCs w:val="24"/>
        </w:rPr>
        <w:t xml:space="preserve"> these can be converted to GVA by determining appropriate sectoral employment to GVA ratios using secondary data from the </w:t>
      </w:r>
      <w:r w:rsidR="004C3FEC" w:rsidRPr="000204E6">
        <w:rPr>
          <w:rFonts w:ascii="Arial Narrow" w:hAnsi="Arial Narrow" w:cs="Arial"/>
          <w:sz w:val="24"/>
          <w:szCs w:val="24"/>
        </w:rPr>
        <w:t>Scottish Government</w:t>
      </w:r>
      <w:r w:rsidR="004C3FEC" w:rsidRPr="000204E6">
        <w:rPr>
          <w:rStyle w:val="FootnoteReference"/>
          <w:rFonts w:ascii="Arial Narrow" w:hAnsi="Arial Narrow" w:cs="Arial"/>
          <w:szCs w:val="24"/>
        </w:rPr>
        <w:footnoteReference w:id="9"/>
      </w:r>
      <w:r w:rsidR="004C3FEC" w:rsidRPr="000204E6">
        <w:rPr>
          <w:rFonts w:ascii="Arial Narrow" w:hAnsi="Arial Narrow" w:cs="Arial"/>
          <w:sz w:val="24"/>
          <w:szCs w:val="24"/>
        </w:rPr>
        <w:t xml:space="preserve">. </w:t>
      </w:r>
      <w:r w:rsidR="002C6559" w:rsidRPr="000204E6">
        <w:rPr>
          <w:rFonts w:ascii="Arial Narrow" w:hAnsi="Arial Narrow"/>
          <w:sz w:val="24"/>
          <w:szCs w:val="24"/>
        </w:rPr>
        <w:t xml:space="preserve"> </w:t>
      </w:r>
    </w:p>
    <w:p w:rsidR="00022FDB" w:rsidRPr="000204E6" w:rsidRDefault="00022FDB" w:rsidP="00022FDB">
      <w:pPr>
        <w:jc w:val="both"/>
        <w:rPr>
          <w:rFonts w:ascii="Arial Narrow" w:hAnsi="Arial Narrow"/>
          <w:sz w:val="24"/>
          <w:szCs w:val="24"/>
        </w:rPr>
      </w:pPr>
      <w:r w:rsidRPr="000204E6">
        <w:rPr>
          <w:rFonts w:ascii="Arial Narrow" w:hAnsi="Arial Narrow"/>
          <w:sz w:val="24"/>
          <w:szCs w:val="24"/>
        </w:rPr>
        <w:t>There may be instances when a 4</w:t>
      </w:r>
      <w:r w:rsidRPr="000204E6">
        <w:rPr>
          <w:rFonts w:ascii="Arial Narrow" w:hAnsi="Arial Narrow"/>
          <w:sz w:val="24"/>
          <w:szCs w:val="24"/>
          <w:vertAlign w:val="superscript"/>
        </w:rPr>
        <w:t>th</w:t>
      </w:r>
      <w:r w:rsidRPr="000204E6">
        <w:rPr>
          <w:rFonts w:ascii="Arial Narrow" w:hAnsi="Arial Narrow"/>
          <w:sz w:val="24"/>
          <w:szCs w:val="24"/>
        </w:rPr>
        <w:t xml:space="preserve"> method of estimating the impact of an intervention is called for. </w:t>
      </w:r>
      <w:r w:rsidR="0055761B">
        <w:rPr>
          <w:rFonts w:ascii="Arial Narrow" w:hAnsi="Arial Narrow"/>
          <w:sz w:val="24"/>
          <w:szCs w:val="24"/>
        </w:rPr>
        <w:t xml:space="preserve"> </w:t>
      </w:r>
      <w:r w:rsidR="0055761B" w:rsidRPr="000204E6">
        <w:rPr>
          <w:rFonts w:ascii="Arial Narrow" w:hAnsi="Arial Narrow"/>
          <w:sz w:val="24"/>
          <w:szCs w:val="24"/>
        </w:rPr>
        <w:t>This is when the activity</w:t>
      </w:r>
      <w:r w:rsidR="0055761B">
        <w:rPr>
          <w:rFonts w:ascii="Arial Narrow" w:hAnsi="Arial Narrow"/>
          <w:sz w:val="24"/>
          <w:szCs w:val="24"/>
        </w:rPr>
        <w:t xml:space="preserve"> </w:t>
      </w:r>
      <w:r w:rsidR="0055761B" w:rsidRPr="000204E6">
        <w:rPr>
          <w:rFonts w:ascii="Arial Narrow" w:hAnsi="Arial Narrow"/>
          <w:sz w:val="24"/>
          <w:szCs w:val="24"/>
        </w:rPr>
        <w:t xml:space="preserve">being supported is a </w:t>
      </w:r>
      <w:r w:rsidR="0055761B" w:rsidRPr="000204E6">
        <w:rPr>
          <w:rFonts w:ascii="Arial Narrow" w:hAnsi="Arial Narrow"/>
          <w:b/>
          <w:sz w:val="24"/>
          <w:szCs w:val="24"/>
        </w:rPr>
        <w:t>cost centre</w:t>
      </w:r>
      <w:r w:rsidR="0055761B" w:rsidRPr="000204E6">
        <w:rPr>
          <w:rFonts w:ascii="Arial Narrow" w:hAnsi="Arial Narrow"/>
          <w:sz w:val="24"/>
          <w:szCs w:val="24"/>
        </w:rPr>
        <w:t>, that is a site that is part of a larger concern, (often a multi-national company) that does not produce separate accounts and where the inter-company</w:t>
      </w:r>
      <w:r w:rsidR="0055761B" w:rsidRPr="000204E6">
        <w:rPr>
          <w:rFonts w:ascii="Arial Narrow" w:hAnsi="Arial Narrow"/>
        </w:rPr>
        <w:t xml:space="preserve"> </w:t>
      </w:r>
      <w:r w:rsidR="0055761B" w:rsidRPr="000204E6">
        <w:rPr>
          <w:rFonts w:ascii="Arial Narrow" w:hAnsi="Arial Narrow"/>
          <w:sz w:val="24"/>
          <w:szCs w:val="24"/>
        </w:rPr>
        <w:t xml:space="preserve">transactions are based on notional values rather than real costs. </w:t>
      </w:r>
      <w:r w:rsidR="0055761B">
        <w:rPr>
          <w:rFonts w:ascii="Arial Narrow" w:hAnsi="Arial Narrow"/>
          <w:sz w:val="24"/>
          <w:szCs w:val="24"/>
        </w:rPr>
        <w:t xml:space="preserve"> </w:t>
      </w:r>
      <w:r w:rsidRPr="000204E6">
        <w:rPr>
          <w:rFonts w:ascii="Arial Narrow" w:hAnsi="Arial Narrow"/>
          <w:sz w:val="24"/>
          <w:szCs w:val="24"/>
        </w:rPr>
        <w:t xml:space="preserve">In these instances it is preferable if the GVA estimates are based on the value of the employee costs </w:t>
      </w:r>
      <w:r w:rsidR="0055761B" w:rsidRPr="000204E6">
        <w:rPr>
          <w:rFonts w:ascii="Arial Narrow" w:hAnsi="Arial Narrow"/>
          <w:sz w:val="24"/>
          <w:szCs w:val="24"/>
        </w:rPr>
        <w:t>alone.</w:t>
      </w:r>
      <w:r w:rsidR="0055761B">
        <w:rPr>
          <w:rFonts w:ascii="Arial Narrow" w:hAnsi="Arial Narrow"/>
          <w:sz w:val="24"/>
          <w:szCs w:val="24"/>
        </w:rPr>
        <w:t xml:space="preserve">  </w:t>
      </w:r>
      <w:r w:rsidR="0055761B" w:rsidRPr="000204E6">
        <w:rPr>
          <w:rFonts w:ascii="Arial Narrow" w:hAnsi="Arial Narrow"/>
          <w:sz w:val="24"/>
          <w:szCs w:val="24"/>
        </w:rPr>
        <w:t>If</w:t>
      </w:r>
      <w:r w:rsidR="00BE099E" w:rsidRPr="000204E6">
        <w:rPr>
          <w:rFonts w:ascii="Arial Narrow" w:hAnsi="Arial Narrow"/>
          <w:sz w:val="24"/>
          <w:szCs w:val="24"/>
        </w:rPr>
        <w:t xml:space="preserve"> this information is not available then the average wage costs for the relevant sector based on Scottish Government statistics can be used.   </w:t>
      </w:r>
    </w:p>
    <w:p w:rsidR="005913E7" w:rsidRPr="000204E6" w:rsidRDefault="00E4679D" w:rsidP="00E4679D">
      <w:pPr>
        <w:jc w:val="both"/>
        <w:rPr>
          <w:rFonts w:ascii="Arial Narrow" w:hAnsi="Arial Narrow"/>
          <w:sz w:val="24"/>
          <w:szCs w:val="24"/>
        </w:rPr>
      </w:pPr>
      <w:r w:rsidRPr="000204E6">
        <w:rPr>
          <w:rFonts w:ascii="Arial Narrow" w:hAnsi="Arial Narrow"/>
          <w:sz w:val="24"/>
          <w:szCs w:val="24"/>
        </w:rPr>
        <w:t xml:space="preserve">In </w:t>
      </w:r>
      <w:r w:rsidR="00420276" w:rsidRPr="000204E6">
        <w:rPr>
          <w:rFonts w:ascii="Arial Narrow" w:hAnsi="Arial Narrow"/>
          <w:sz w:val="24"/>
          <w:szCs w:val="24"/>
        </w:rPr>
        <w:t xml:space="preserve">all </w:t>
      </w:r>
      <w:r w:rsidRPr="000204E6">
        <w:rPr>
          <w:rFonts w:ascii="Arial Narrow" w:hAnsi="Arial Narrow"/>
          <w:sz w:val="24"/>
          <w:szCs w:val="24"/>
        </w:rPr>
        <w:t xml:space="preserve">cases, summing across </w:t>
      </w:r>
      <w:r w:rsidR="007214DB" w:rsidRPr="000204E6">
        <w:rPr>
          <w:rFonts w:ascii="Arial Narrow" w:hAnsi="Arial Narrow"/>
          <w:sz w:val="24"/>
          <w:szCs w:val="24"/>
        </w:rPr>
        <w:t xml:space="preserve">all </w:t>
      </w:r>
      <w:r w:rsidRPr="000204E6">
        <w:rPr>
          <w:rFonts w:ascii="Arial Narrow" w:hAnsi="Arial Narrow"/>
          <w:sz w:val="24"/>
          <w:szCs w:val="24"/>
        </w:rPr>
        <w:t xml:space="preserve">beneficiaries </w:t>
      </w:r>
      <w:r w:rsidR="00084641" w:rsidRPr="000204E6">
        <w:rPr>
          <w:rFonts w:ascii="Arial Narrow" w:hAnsi="Arial Narrow"/>
          <w:sz w:val="24"/>
          <w:szCs w:val="24"/>
        </w:rPr>
        <w:t>over</w:t>
      </w:r>
      <w:r w:rsidR="007214DB" w:rsidRPr="000204E6">
        <w:rPr>
          <w:rFonts w:ascii="Arial Narrow" w:hAnsi="Arial Narrow"/>
          <w:sz w:val="24"/>
          <w:szCs w:val="24"/>
        </w:rPr>
        <w:t xml:space="preserve"> the required timeframe </w:t>
      </w:r>
      <w:r w:rsidR="00682225" w:rsidRPr="000204E6">
        <w:rPr>
          <w:rFonts w:ascii="Arial Narrow" w:hAnsi="Arial Narrow"/>
          <w:sz w:val="24"/>
          <w:szCs w:val="24"/>
        </w:rPr>
        <w:t xml:space="preserve">will </w:t>
      </w:r>
      <w:r w:rsidR="007214DB" w:rsidRPr="000204E6">
        <w:rPr>
          <w:rFonts w:ascii="Arial Narrow" w:hAnsi="Arial Narrow"/>
          <w:sz w:val="24"/>
          <w:szCs w:val="24"/>
        </w:rPr>
        <w:t xml:space="preserve">yield </w:t>
      </w:r>
      <w:r w:rsidRPr="000204E6">
        <w:rPr>
          <w:rFonts w:ascii="Arial Narrow" w:hAnsi="Arial Narrow"/>
          <w:sz w:val="24"/>
          <w:szCs w:val="24"/>
        </w:rPr>
        <w:t>the total GVA impact.</w:t>
      </w:r>
      <w:r w:rsidR="007214DB" w:rsidRPr="000204E6">
        <w:rPr>
          <w:rFonts w:ascii="Arial Narrow" w:hAnsi="Arial Narrow"/>
          <w:sz w:val="24"/>
          <w:szCs w:val="24"/>
        </w:rPr>
        <w:t xml:space="preserve"> </w:t>
      </w:r>
      <w:r w:rsidR="00B83F41">
        <w:rPr>
          <w:rFonts w:ascii="Arial Narrow" w:hAnsi="Arial Narrow"/>
          <w:sz w:val="24"/>
          <w:szCs w:val="24"/>
        </w:rPr>
        <w:t xml:space="preserve"> </w:t>
      </w:r>
      <w:r w:rsidR="005913E7" w:rsidRPr="000204E6">
        <w:rPr>
          <w:rFonts w:ascii="Arial Narrow" w:hAnsi="Arial Narrow"/>
          <w:sz w:val="24"/>
          <w:szCs w:val="24"/>
        </w:rPr>
        <w:t>The gross GVA impact will simply be the GVA summed across all intervention beneficiaries</w:t>
      </w:r>
      <w:r w:rsidR="007214DB" w:rsidRPr="000204E6">
        <w:rPr>
          <w:rFonts w:ascii="Arial Narrow" w:hAnsi="Arial Narrow"/>
          <w:sz w:val="24"/>
          <w:szCs w:val="24"/>
        </w:rPr>
        <w:t>, with n</w:t>
      </w:r>
      <w:r w:rsidR="005913E7" w:rsidRPr="000204E6">
        <w:rPr>
          <w:rFonts w:ascii="Arial Narrow" w:hAnsi="Arial Narrow"/>
          <w:sz w:val="24"/>
          <w:szCs w:val="24"/>
        </w:rPr>
        <w:t>et GVA impact derived by applying appropriate additionality factors</w:t>
      </w:r>
      <w:r w:rsidR="005B4546" w:rsidRPr="000204E6">
        <w:rPr>
          <w:rFonts w:ascii="Arial Narrow" w:hAnsi="Arial Narrow"/>
          <w:sz w:val="24"/>
          <w:szCs w:val="24"/>
        </w:rPr>
        <w:t xml:space="preserve">  </w:t>
      </w:r>
    </w:p>
    <w:p w:rsidR="00E4679D" w:rsidRPr="00B83F41" w:rsidRDefault="00E4679D" w:rsidP="00E4679D">
      <w:pPr>
        <w:jc w:val="both"/>
        <w:rPr>
          <w:rFonts w:ascii="Arial Narrow" w:hAnsi="Arial Narrow"/>
          <w:sz w:val="28"/>
          <w:szCs w:val="28"/>
        </w:rPr>
      </w:pPr>
      <w:r w:rsidRPr="00B83F41">
        <w:rPr>
          <w:rFonts w:ascii="Arial Narrow" w:hAnsi="Arial Narrow"/>
          <w:b/>
          <w:sz w:val="28"/>
          <w:szCs w:val="28"/>
        </w:rPr>
        <w:t>How should we report GVA impacts?</w:t>
      </w:r>
    </w:p>
    <w:p w:rsidR="00E4679D" w:rsidRPr="000204E6" w:rsidRDefault="00E4679D" w:rsidP="00E4679D">
      <w:pPr>
        <w:jc w:val="both"/>
        <w:rPr>
          <w:rFonts w:ascii="Arial Narrow" w:hAnsi="Arial Narrow"/>
          <w:sz w:val="24"/>
          <w:szCs w:val="24"/>
        </w:rPr>
      </w:pPr>
      <w:r w:rsidRPr="000204E6">
        <w:rPr>
          <w:rFonts w:ascii="Arial Narrow" w:hAnsi="Arial Narrow"/>
          <w:sz w:val="24"/>
          <w:szCs w:val="24"/>
        </w:rPr>
        <w:t xml:space="preserve">GVA impacts </w:t>
      </w:r>
      <w:r w:rsidRPr="000204E6">
        <w:rPr>
          <w:rFonts w:ascii="Arial Narrow" w:hAnsi="Arial Narrow"/>
          <w:b/>
          <w:sz w:val="24"/>
          <w:szCs w:val="24"/>
        </w:rPr>
        <w:t>must always</w:t>
      </w:r>
      <w:r w:rsidRPr="000204E6">
        <w:rPr>
          <w:rFonts w:ascii="Arial Narrow" w:hAnsi="Arial Narrow"/>
          <w:sz w:val="24"/>
          <w:szCs w:val="24"/>
        </w:rPr>
        <w:t xml:space="preserve"> be reported separately from other impacts </w:t>
      </w:r>
      <w:r w:rsidR="00682225" w:rsidRPr="000204E6">
        <w:rPr>
          <w:rFonts w:ascii="Arial Narrow" w:hAnsi="Arial Narrow"/>
          <w:sz w:val="24"/>
          <w:szCs w:val="24"/>
        </w:rPr>
        <w:t xml:space="preserve">and benefits identified </w:t>
      </w:r>
      <w:r w:rsidRPr="000204E6">
        <w:rPr>
          <w:rFonts w:ascii="Arial Narrow" w:hAnsi="Arial Narrow"/>
          <w:sz w:val="24"/>
          <w:szCs w:val="24"/>
        </w:rPr>
        <w:t>an i</w:t>
      </w:r>
      <w:r w:rsidR="00682225" w:rsidRPr="000204E6">
        <w:rPr>
          <w:rFonts w:ascii="Arial Narrow" w:hAnsi="Arial Narrow"/>
          <w:sz w:val="24"/>
          <w:szCs w:val="24"/>
        </w:rPr>
        <w:t xml:space="preserve">ntervention. </w:t>
      </w:r>
      <w:r w:rsidR="0055761B">
        <w:rPr>
          <w:rFonts w:ascii="Arial Narrow" w:hAnsi="Arial Narrow"/>
          <w:sz w:val="24"/>
          <w:szCs w:val="24"/>
        </w:rPr>
        <w:t xml:space="preserve"> </w:t>
      </w:r>
      <w:r w:rsidR="00682225" w:rsidRPr="000204E6">
        <w:rPr>
          <w:rFonts w:ascii="Arial Narrow" w:hAnsi="Arial Narrow"/>
          <w:sz w:val="24"/>
          <w:szCs w:val="24"/>
        </w:rPr>
        <w:t>The following must be reported</w:t>
      </w:r>
      <w:r w:rsidRPr="000204E6">
        <w:rPr>
          <w:rFonts w:ascii="Arial Narrow" w:hAnsi="Arial Narrow"/>
          <w:sz w:val="24"/>
          <w:szCs w:val="24"/>
        </w:rPr>
        <w:t>:</w:t>
      </w:r>
      <w:r w:rsidR="005B4546" w:rsidRPr="000204E6">
        <w:rPr>
          <w:rFonts w:ascii="Arial Narrow" w:hAnsi="Arial Narrow"/>
          <w:sz w:val="24"/>
          <w:szCs w:val="24"/>
        </w:rPr>
        <w:t>-</w:t>
      </w:r>
    </w:p>
    <w:p w:rsidR="00E4679D" w:rsidRPr="000204E6" w:rsidRDefault="005B4546" w:rsidP="00E4679D">
      <w:pPr>
        <w:pStyle w:val="ListParagraph"/>
        <w:numPr>
          <w:ilvl w:val="0"/>
          <w:numId w:val="1"/>
        </w:numPr>
        <w:spacing w:after="120"/>
        <w:jc w:val="both"/>
        <w:rPr>
          <w:rFonts w:ascii="Arial Narrow" w:hAnsi="Arial Narrow"/>
          <w:sz w:val="24"/>
          <w:szCs w:val="24"/>
        </w:rPr>
      </w:pPr>
      <w:r w:rsidRPr="000204E6">
        <w:rPr>
          <w:rFonts w:ascii="Arial Narrow" w:hAnsi="Arial Narrow"/>
          <w:sz w:val="24"/>
          <w:szCs w:val="24"/>
        </w:rPr>
        <w:t>C</w:t>
      </w:r>
      <w:r w:rsidR="008208C1" w:rsidRPr="000204E6">
        <w:rPr>
          <w:rFonts w:ascii="Arial Narrow" w:hAnsi="Arial Narrow"/>
          <w:sz w:val="24"/>
          <w:szCs w:val="24"/>
        </w:rPr>
        <w:t xml:space="preserve">umulative </w:t>
      </w:r>
      <w:r w:rsidR="00E4679D" w:rsidRPr="000204E6">
        <w:rPr>
          <w:rFonts w:ascii="Arial Narrow" w:hAnsi="Arial Narrow"/>
          <w:sz w:val="24"/>
          <w:szCs w:val="24"/>
        </w:rPr>
        <w:t xml:space="preserve">gross GVA impact attributable to the support received over the </w:t>
      </w:r>
      <w:r w:rsidR="00E4679D" w:rsidRPr="000204E6">
        <w:rPr>
          <w:rFonts w:ascii="Arial Narrow" w:hAnsi="Arial Narrow"/>
          <w:b/>
          <w:sz w:val="24"/>
          <w:szCs w:val="24"/>
        </w:rPr>
        <w:t>impact period</w:t>
      </w:r>
      <w:r w:rsidR="00682225" w:rsidRPr="000204E6">
        <w:rPr>
          <w:rFonts w:ascii="Arial Narrow" w:hAnsi="Arial Narrow"/>
          <w:b/>
          <w:sz w:val="24"/>
          <w:szCs w:val="24"/>
        </w:rPr>
        <w:t>,</w:t>
      </w:r>
      <w:r w:rsidR="008208C1" w:rsidRPr="000204E6">
        <w:rPr>
          <w:rFonts w:ascii="Arial Narrow" w:hAnsi="Arial Narrow"/>
          <w:color w:val="FF0000"/>
          <w:sz w:val="24"/>
          <w:szCs w:val="24"/>
        </w:rPr>
        <w:t xml:space="preserve"> </w:t>
      </w:r>
      <w:r w:rsidR="008208C1" w:rsidRPr="000204E6">
        <w:rPr>
          <w:rFonts w:ascii="Arial Narrow" w:hAnsi="Arial Narrow"/>
          <w:sz w:val="24"/>
          <w:szCs w:val="24"/>
        </w:rPr>
        <w:t xml:space="preserve">expressed in </w:t>
      </w:r>
      <w:r w:rsidR="008208C1" w:rsidRPr="000204E6">
        <w:rPr>
          <w:rFonts w:ascii="Arial Narrow" w:hAnsi="Arial Narrow"/>
          <w:b/>
          <w:sz w:val="24"/>
          <w:szCs w:val="24"/>
        </w:rPr>
        <w:t>present values</w:t>
      </w:r>
      <w:r w:rsidR="008208C1" w:rsidRPr="000204E6">
        <w:rPr>
          <w:rFonts w:ascii="Arial Narrow" w:hAnsi="Arial Narrow"/>
          <w:sz w:val="24"/>
          <w:szCs w:val="24"/>
        </w:rPr>
        <w:t xml:space="preserve"> and constant prices for the given </w:t>
      </w:r>
      <w:r w:rsidR="008208C1" w:rsidRPr="000204E6">
        <w:rPr>
          <w:rFonts w:ascii="Arial Narrow" w:hAnsi="Arial Narrow"/>
          <w:b/>
          <w:sz w:val="24"/>
          <w:szCs w:val="24"/>
        </w:rPr>
        <w:t>base year</w:t>
      </w:r>
      <w:r w:rsidR="00E4679D" w:rsidRPr="000204E6">
        <w:rPr>
          <w:rFonts w:ascii="Arial Narrow" w:hAnsi="Arial Narrow"/>
          <w:sz w:val="24"/>
          <w:szCs w:val="24"/>
        </w:rPr>
        <w:t xml:space="preserve">; </w:t>
      </w:r>
    </w:p>
    <w:p w:rsidR="00E4679D" w:rsidRPr="000204E6" w:rsidRDefault="005B4546" w:rsidP="00E4679D">
      <w:pPr>
        <w:pStyle w:val="ListParagraph"/>
        <w:numPr>
          <w:ilvl w:val="0"/>
          <w:numId w:val="1"/>
        </w:numPr>
        <w:spacing w:after="120"/>
        <w:jc w:val="both"/>
        <w:rPr>
          <w:rFonts w:ascii="Arial Narrow" w:hAnsi="Arial Narrow"/>
          <w:sz w:val="24"/>
          <w:szCs w:val="24"/>
        </w:rPr>
      </w:pPr>
      <w:r w:rsidRPr="000204E6">
        <w:rPr>
          <w:rFonts w:ascii="Arial Narrow" w:hAnsi="Arial Narrow"/>
          <w:sz w:val="24"/>
          <w:szCs w:val="24"/>
        </w:rPr>
        <w:t>C</w:t>
      </w:r>
      <w:r w:rsidR="008208C1" w:rsidRPr="000204E6">
        <w:rPr>
          <w:rFonts w:ascii="Arial Narrow" w:hAnsi="Arial Narrow"/>
          <w:sz w:val="24"/>
          <w:szCs w:val="24"/>
        </w:rPr>
        <w:t>um</w:t>
      </w:r>
      <w:r w:rsidR="00682225" w:rsidRPr="000204E6">
        <w:rPr>
          <w:rFonts w:ascii="Arial Narrow" w:hAnsi="Arial Narrow"/>
          <w:sz w:val="24"/>
          <w:szCs w:val="24"/>
        </w:rPr>
        <w:t>u</w:t>
      </w:r>
      <w:r w:rsidR="008208C1" w:rsidRPr="000204E6">
        <w:rPr>
          <w:rFonts w:ascii="Arial Narrow" w:hAnsi="Arial Narrow"/>
          <w:sz w:val="24"/>
          <w:szCs w:val="24"/>
        </w:rPr>
        <w:t xml:space="preserve">lative </w:t>
      </w:r>
      <w:r w:rsidR="00E4679D" w:rsidRPr="000204E6">
        <w:rPr>
          <w:rFonts w:ascii="Arial Narrow" w:hAnsi="Arial Narrow"/>
          <w:sz w:val="24"/>
          <w:szCs w:val="24"/>
        </w:rPr>
        <w:t xml:space="preserve">net additional GVA impacts </w:t>
      </w:r>
      <w:r w:rsidR="008208C1" w:rsidRPr="000204E6">
        <w:rPr>
          <w:rFonts w:ascii="Arial Narrow" w:hAnsi="Arial Narrow"/>
          <w:sz w:val="24"/>
          <w:szCs w:val="24"/>
        </w:rPr>
        <w:t xml:space="preserve">attributable to the support received over the </w:t>
      </w:r>
      <w:r w:rsidR="008208C1" w:rsidRPr="000204E6">
        <w:rPr>
          <w:rFonts w:ascii="Arial Narrow" w:hAnsi="Arial Narrow"/>
          <w:b/>
          <w:sz w:val="24"/>
          <w:szCs w:val="24"/>
        </w:rPr>
        <w:t>impact period</w:t>
      </w:r>
      <w:r w:rsidR="00682225" w:rsidRPr="000204E6">
        <w:rPr>
          <w:rFonts w:ascii="Arial Narrow" w:hAnsi="Arial Narrow"/>
          <w:color w:val="FF0000"/>
          <w:sz w:val="24"/>
          <w:szCs w:val="24"/>
        </w:rPr>
        <w:t>,</w:t>
      </w:r>
      <w:r w:rsidR="008208C1" w:rsidRPr="000204E6">
        <w:rPr>
          <w:rFonts w:ascii="Arial Narrow" w:hAnsi="Arial Narrow"/>
          <w:sz w:val="24"/>
          <w:szCs w:val="24"/>
        </w:rPr>
        <w:t xml:space="preserve"> </w:t>
      </w:r>
      <w:r w:rsidR="00E4679D" w:rsidRPr="000204E6">
        <w:rPr>
          <w:rFonts w:ascii="Arial Narrow" w:hAnsi="Arial Narrow"/>
          <w:sz w:val="24"/>
          <w:szCs w:val="24"/>
        </w:rPr>
        <w:t xml:space="preserve">expressed in </w:t>
      </w:r>
      <w:r w:rsidR="00E4679D" w:rsidRPr="000204E6">
        <w:rPr>
          <w:rFonts w:ascii="Arial Narrow" w:hAnsi="Arial Narrow"/>
          <w:b/>
          <w:sz w:val="24"/>
          <w:szCs w:val="24"/>
        </w:rPr>
        <w:t>present</w:t>
      </w:r>
      <w:r w:rsidR="00E4679D" w:rsidRPr="000204E6">
        <w:rPr>
          <w:rFonts w:ascii="Arial Narrow" w:hAnsi="Arial Narrow"/>
          <w:color w:val="FF0000"/>
          <w:sz w:val="24"/>
          <w:szCs w:val="24"/>
        </w:rPr>
        <w:t xml:space="preserve"> </w:t>
      </w:r>
      <w:r w:rsidR="00E4679D" w:rsidRPr="000204E6">
        <w:rPr>
          <w:rFonts w:ascii="Arial Narrow" w:hAnsi="Arial Narrow"/>
          <w:b/>
          <w:sz w:val="24"/>
          <w:szCs w:val="24"/>
        </w:rPr>
        <w:t>values</w:t>
      </w:r>
      <w:r w:rsidR="00E4679D" w:rsidRPr="000204E6">
        <w:rPr>
          <w:rFonts w:ascii="Arial Narrow" w:hAnsi="Arial Narrow"/>
          <w:sz w:val="24"/>
          <w:szCs w:val="24"/>
        </w:rPr>
        <w:t xml:space="preserve"> a</w:t>
      </w:r>
      <w:r w:rsidR="008208C1" w:rsidRPr="000204E6">
        <w:rPr>
          <w:rFonts w:ascii="Arial Narrow" w:hAnsi="Arial Narrow"/>
          <w:sz w:val="24"/>
          <w:szCs w:val="24"/>
        </w:rPr>
        <w:t>nd</w:t>
      </w:r>
      <w:r w:rsidR="00E4679D" w:rsidRPr="000204E6">
        <w:rPr>
          <w:rFonts w:ascii="Arial Narrow" w:hAnsi="Arial Narrow"/>
          <w:sz w:val="24"/>
          <w:szCs w:val="24"/>
        </w:rPr>
        <w:t xml:space="preserve"> </w:t>
      </w:r>
      <w:r w:rsidR="00E4679D" w:rsidRPr="000204E6">
        <w:rPr>
          <w:rFonts w:ascii="Arial Narrow" w:hAnsi="Arial Narrow"/>
          <w:b/>
          <w:sz w:val="24"/>
          <w:szCs w:val="24"/>
        </w:rPr>
        <w:t>constant prices</w:t>
      </w:r>
      <w:r w:rsidR="00E4679D" w:rsidRPr="000204E6">
        <w:rPr>
          <w:rFonts w:ascii="Arial Narrow" w:hAnsi="Arial Narrow"/>
          <w:sz w:val="24"/>
          <w:szCs w:val="24"/>
        </w:rPr>
        <w:t xml:space="preserve"> for the</w:t>
      </w:r>
      <w:r w:rsidR="008208C1" w:rsidRPr="000204E6">
        <w:rPr>
          <w:rFonts w:ascii="Arial Narrow" w:hAnsi="Arial Narrow"/>
          <w:sz w:val="24"/>
          <w:szCs w:val="24"/>
        </w:rPr>
        <w:t xml:space="preserve"> given</w:t>
      </w:r>
      <w:r w:rsidR="00E4679D" w:rsidRPr="000204E6">
        <w:rPr>
          <w:rFonts w:ascii="Arial Narrow" w:hAnsi="Arial Narrow"/>
          <w:sz w:val="24"/>
          <w:szCs w:val="24"/>
        </w:rPr>
        <w:t xml:space="preserve"> </w:t>
      </w:r>
      <w:r w:rsidR="00E4679D" w:rsidRPr="000204E6">
        <w:rPr>
          <w:rFonts w:ascii="Arial Narrow" w:hAnsi="Arial Narrow"/>
          <w:b/>
          <w:sz w:val="24"/>
          <w:szCs w:val="24"/>
        </w:rPr>
        <w:t>base year</w:t>
      </w:r>
      <w:r w:rsidR="00E4679D" w:rsidRPr="000204E6">
        <w:rPr>
          <w:rFonts w:ascii="Arial Narrow" w:hAnsi="Arial Narrow"/>
          <w:sz w:val="24"/>
          <w:szCs w:val="24"/>
        </w:rPr>
        <w:t>; and</w:t>
      </w:r>
    </w:p>
    <w:p w:rsidR="00E4679D" w:rsidRPr="000204E6" w:rsidRDefault="005B4546" w:rsidP="00E4679D">
      <w:pPr>
        <w:pStyle w:val="ListParagraph"/>
        <w:numPr>
          <w:ilvl w:val="0"/>
          <w:numId w:val="1"/>
        </w:numPr>
        <w:spacing w:after="120"/>
        <w:jc w:val="both"/>
        <w:rPr>
          <w:rFonts w:ascii="Arial Narrow" w:hAnsi="Arial Narrow"/>
          <w:sz w:val="24"/>
          <w:szCs w:val="24"/>
        </w:rPr>
      </w:pPr>
      <w:r w:rsidRPr="000204E6">
        <w:rPr>
          <w:rFonts w:ascii="Arial Narrow" w:hAnsi="Arial Narrow"/>
          <w:sz w:val="24"/>
          <w:szCs w:val="24"/>
        </w:rPr>
        <w:t>C</w:t>
      </w:r>
      <w:r w:rsidR="008208C1" w:rsidRPr="000204E6">
        <w:rPr>
          <w:rFonts w:ascii="Arial Narrow" w:hAnsi="Arial Narrow"/>
          <w:sz w:val="24"/>
          <w:szCs w:val="24"/>
        </w:rPr>
        <w:t>um</w:t>
      </w:r>
      <w:r w:rsidR="00682225" w:rsidRPr="000204E6">
        <w:rPr>
          <w:rFonts w:ascii="Arial Narrow" w:hAnsi="Arial Narrow"/>
          <w:sz w:val="24"/>
          <w:szCs w:val="24"/>
        </w:rPr>
        <w:t>u</w:t>
      </w:r>
      <w:r w:rsidR="008208C1" w:rsidRPr="000204E6">
        <w:rPr>
          <w:rFonts w:ascii="Arial Narrow" w:hAnsi="Arial Narrow"/>
          <w:sz w:val="24"/>
          <w:szCs w:val="24"/>
        </w:rPr>
        <w:t xml:space="preserve">lative net additional GVA impacts attributable to the support received at </w:t>
      </w:r>
      <w:r w:rsidR="008208C1" w:rsidRPr="000204E6">
        <w:rPr>
          <w:rFonts w:ascii="Arial Narrow" w:hAnsi="Arial Narrow"/>
          <w:b/>
          <w:sz w:val="24"/>
          <w:szCs w:val="24"/>
        </w:rPr>
        <w:t>key milestone</w:t>
      </w:r>
      <w:r w:rsidR="008208C1" w:rsidRPr="000204E6">
        <w:rPr>
          <w:rFonts w:ascii="Arial Narrow" w:hAnsi="Arial Narrow"/>
          <w:color w:val="FF0000"/>
          <w:sz w:val="24"/>
          <w:szCs w:val="24"/>
        </w:rPr>
        <w:t xml:space="preserve"> </w:t>
      </w:r>
      <w:r w:rsidR="008208C1" w:rsidRPr="000204E6">
        <w:rPr>
          <w:rFonts w:ascii="Arial Narrow" w:hAnsi="Arial Narrow"/>
          <w:b/>
          <w:sz w:val="24"/>
          <w:szCs w:val="24"/>
        </w:rPr>
        <w:t>years</w:t>
      </w:r>
      <w:r w:rsidR="00682225" w:rsidRPr="000204E6">
        <w:rPr>
          <w:rFonts w:ascii="Arial Narrow" w:hAnsi="Arial Narrow"/>
          <w:sz w:val="24"/>
          <w:szCs w:val="24"/>
        </w:rPr>
        <w:t>,</w:t>
      </w:r>
      <w:r w:rsidR="008208C1" w:rsidRPr="000204E6">
        <w:rPr>
          <w:rFonts w:ascii="Arial Narrow" w:hAnsi="Arial Narrow"/>
          <w:sz w:val="24"/>
          <w:szCs w:val="24"/>
        </w:rPr>
        <w:t xml:space="preserve"> expressed in </w:t>
      </w:r>
      <w:r w:rsidR="008208C1" w:rsidRPr="000204E6">
        <w:rPr>
          <w:rFonts w:ascii="Arial Narrow" w:hAnsi="Arial Narrow"/>
          <w:b/>
          <w:sz w:val="24"/>
          <w:szCs w:val="24"/>
        </w:rPr>
        <w:t>present values</w:t>
      </w:r>
      <w:r w:rsidR="008208C1" w:rsidRPr="000204E6">
        <w:rPr>
          <w:rFonts w:ascii="Arial Narrow" w:hAnsi="Arial Narrow"/>
          <w:sz w:val="24"/>
          <w:szCs w:val="24"/>
        </w:rPr>
        <w:t xml:space="preserve"> and </w:t>
      </w:r>
      <w:r w:rsidR="008208C1" w:rsidRPr="000204E6">
        <w:rPr>
          <w:rFonts w:ascii="Arial Narrow" w:hAnsi="Arial Narrow"/>
          <w:b/>
          <w:sz w:val="24"/>
          <w:szCs w:val="24"/>
        </w:rPr>
        <w:t>constant prices</w:t>
      </w:r>
      <w:r w:rsidR="008208C1" w:rsidRPr="000204E6">
        <w:rPr>
          <w:rFonts w:ascii="Arial Narrow" w:hAnsi="Arial Narrow"/>
          <w:sz w:val="24"/>
          <w:szCs w:val="24"/>
        </w:rPr>
        <w:t xml:space="preserve"> for the given </w:t>
      </w:r>
      <w:r w:rsidR="008208C1" w:rsidRPr="000204E6">
        <w:rPr>
          <w:rFonts w:ascii="Arial Narrow" w:hAnsi="Arial Narrow"/>
          <w:b/>
          <w:sz w:val="24"/>
          <w:szCs w:val="24"/>
        </w:rPr>
        <w:t>base year</w:t>
      </w:r>
      <w:r w:rsidR="00E4679D" w:rsidRPr="000204E6">
        <w:rPr>
          <w:rFonts w:ascii="Arial Narrow" w:hAnsi="Arial Narrow"/>
          <w:b/>
          <w:sz w:val="24"/>
          <w:szCs w:val="24"/>
        </w:rPr>
        <w:t>.</w:t>
      </w:r>
    </w:p>
    <w:p w:rsidR="00B83F41" w:rsidRDefault="00B83F41" w:rsidP="00E4679D">
      <w:pPr>
        <w:spacing w:after="120"/>
        <w:jc w:val="both"/>
        <w:rPr>
          <w:rFonts w:ascii="Arial Narrow" w:hAnsi="Arial Narrow"/>
          <w:b/>
          <w:sz w:val="24"/>
          <w:szCs w:val="24"/>
        </w:rPr>
      </w:pPr>
    </w:p>
    <w:p w:rsidR="00E4679D" w:rsidRPr="0055761B" w:rsidRDefault="00E4679D" w:rsidP="00E4679D">
      <w:pPr>
        <w:spacing w:after="120"/>
        <w:jc w:val="both"/>
        <w:rPr>
          <w:rFonts w:ascii="Arial Narrow" w:hAnsi="Arial Narrow"/>
          <w:b/>
          <w:sz w:val="24"/>
          <w:szCs w:val="24"/>
        </w:rPr>
      </w:pPr>
      <w:r w:rsidRPr="0055761B">
        <w:rPr>
          <w:rFonts w:ascii="Arial Narrow" w:hAnsi="Arial Narrow"/>
          <w:b/>
          <w:sz w:val="24"/>
          <w:szCs w:val="24"/>
        </w:rPr>
        <w:t>Need more help?</w:t>
      </w:r>
    </w:p>
    <w:p w:rsidR="005B4546" w:rsidRPr="000204E6" w:rsidRDefault="005B4546" w:rsidP="005B4546">
      <w:pPr>
        <w:jc w:val="both"/>
        <w:rPr>
          <w:rFonts w:ascii="Arial Narrow" w:hAnsi="Arial Narrow"/>
          <w:sz w:val="24"/>
          <w:szCs w:val="24"/>
        </w:rPr>
      </w:pPr>
      <w:r w:rsidRPr="000204E6">
        <w:rPr>
          <w:rFonts w:ascii="Arial Narrow" w:hAnsi="Arial Narrow"/>
          <w:sz w:val="24"/>
          <w:szCs w:val="24"/>
        </w:rPr>
        <w:t>For further information contact:-</w:t>
      </w:r>
    </w:p>
    <w:p w:rsidR="005B4546" w:rsidRPr="000204E6" w:rsidRDefault="005B4546" w:rsidP="005B4546">
      <w:pPr>
        <w:jc w:val="both"/>
        <w:rPr>
          <w:rFonts w:ascii="Arial Narrow" w:hAnsi="Arial Narrow"/>
          <w:sz w:val="24"/>
          <w:szCs w:val="24"/>
        </w:rPr>
      </w:pPr>
      <w:r w:rsidRPr="000204E6">
        <w:rPr>
          <w:rFonts w:ascii="Arial Narrow" w:hAnsi="Arial Narrow"/>
          <w:sz w:val="24"/>
          <w:szCs w:val="24"/>
        </w:rPr>
        <w:lastRenderedPageBreak/>
        <w:t>Suzanne Fleming, 0141-228-2062</w:t>
      </w:r>
    </w:p>
    <w:p w:rsidR="005B4546" w:rsidRPr="000204E6" w:rsidRDefault="005B4546" w:rsidP="005B4546">
      <w:pPr>
        <w:jc w:val="both"/>
        <w:rPr>
          <w:rFonts w:ascii="Arial Narrow" w:hAnsi="Arial Narrow"/>
          <w:sz w:val="24"/>
          <w:szCs w:val="24"/>
        </w:rPr>
      </w:pPr>
      <w:hyperlink r:id="rId9" w:history="1">
        <w:r w:rsidRPr="000204E6">
          <w:rPr>
            <w:rStyle w:val="Hyperlink"/>
            <w:rFonts w:ascii="Arial Narrow" w:hAnsi="Arial Narrow"/>
            <w:sz w:val="24"/>
            <w:szCs w:val="24"/>
          </w:rPr>
          <w:t>Suzanne.fleming@scotent.co.uk</w:t>
        </w:r>
      </w:hyperlink>
    </w:p>
    <w:p w:rsidR="00E4679D" w:rsidRPr="000204E6" w:rsidRDefault="00E4679D" w:rsidP="00E4679D">
      <w:pPr>
        <w:jc w:val="both"/>
        <w:rPr>
          <w:rFonts w:ascii="Arial Narrow" w:hAnsi="Arial Narrow"/>
          <w:sz w:val="24"/>
          <w:szCs w:val="24"/>
        </w:rPr>
      </w:pPr>
    </w:p>
    <w:p w:rsidR="0056274E" w:rsidRPr="000204E6" w:rsidRDefault="0056274E" w:rsidP="00E4679D">
      <w:pPr>
        <w:ind w:right="14"/>
        <w:jc w:val="both"/>
        <w:rPr>
          <w:rFonts w:ascii="Arial Narrow" w:hAnsi="Arial Narrow"/>
          <w:sz w:val="24"/>
          <w:szCs w:val="24"/>
        </w:rPr>
      </w:pPr>
    </w:p>
    <w:sectPr w:rsidR="0056274E" w:rsidRPr="000204E6">
      <w:headerReference w:type="default" r:id="rId10"/>
      <w:footerReference w:type="default" r:id="rId11"/>
      <w:pgSz w:w="11894" w:h="16834"/>
      <w:pgMar w:top="1440" w:right="1440" w:bottom="1440" w:left="1440" w:header="706" w:footer="706"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3B6" w:rsidRDefault="008C53B6">
      <w:r>
        <w:separator/>
      </w:r>
    </w:p>
  </w:endnote>
  <w:endnote w:type="continuationSeparator" w:id="0">
    <w:p w:rsidR="008C53B6" w:rsidRDefault="008C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1B" w:rsidRDefault="006E2922" w:rsidP="0005447E">
    <w:pPr>
      <w:pStyle w:val="Footer"/>
      <w:tabs>
        <w:tab w:val="clear" w:pos="4819"/>
        <w:tab w:val="clear" w:pos="9071"/>
        <w:tab w:val="right" w:pos="9014"/>
      </w:tabs>
      <w:jc w:val="right"/>
    </w:pPr>
    <w:r>
      <w:rPr>
        <w:rFonts w:ascii="Arial Narrow" w:hAnsi="Arial Narrow"/>
        <w:i/>
        <w:sz w:val="16"/>
        <w:szCs w:val="16"/>
      </w:rPr>
      <w:t xml:space="preserve">February 2017 </w:t>
    </w:r>
    <w:r w:rsidR="0055761B">
      <w:tab/>
    </w:r>
    <w:r w:rsidR="0055761B">
      <w:fldChar w:fldCharType="begin"/>
    </w:r>
    <w:r w:rsidR="0055761B">
      <w:instrText xml:space="preserve"> PAGE   \* MERGEFORMAT </w:instrText>
    </w:r>
    <w:r w:rsidR="0055761B">
      <w:fldChar w:fldCharType="separate"/>
    </w:r>
    <w:r w:rsidR="00897E3B" w:rsidRPr="00897E3B">
      <w:rPr>
        <w:rFonts w:ascii="Cambria" w:hAnsi="Cambria"/>
        <w:noProof/>
      </w:rPr>
      <w:t>1</w:t>
    </w:r>
    <w:r w:rsidR="0055761B">
      <w:fldChar w:fldCharType="end"/>
    </w:r>
  </w:p>
  <w:p w:rsidR="0055761B" w:rsidRDefault="0055761B">
    <w:pPr>
      <w:pStyle w:val="Footer"/>
      <w:tabs>
        <w:tab w:val="right" w:pos="8280"/>
      </w:tabs>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3B6" w:rsidRDefault="008C53B6">
      <w:r>
        <w:separator/>
      </w:r>
    </w:p>
  </w:footnote>
  <w:footnote w:type="continuationSeparator" w:id="0">
    <w:p w:rsidR="008C53B6" w:rsidRDefault="008C53B6">
      <w:r>
        <w:continuationSeparator/>
      </w:r>
    </w:p>
  </w:footnote>
  <w:footnote w:id="1">
    <w:p w:rsidR="0055761B" w:rsidRPr="005B4546" w:rsidRDefault="0055761B" w:rsidP="00E4679D">
      <w:pPr>
        <w:jc w:val="both"/>
        <w:rPr>
          <w:rFonts w:ascii="Arial Narrow" w:hAnsi="Arial Narrow"/>
          <w:sz w:val="16"/>
          <w:szCs w:val="16"/>
        </w:rPr>
      </w:pPr>
      <w:r w:rsidRPr="005B4546">
        <w:rPr>
          <w:rStyle w:val="FootnoteReference"/>
          <w:rFonts w:ascii="Arial Narrow" w:hAnsi="Arial Narrow"/>
          <w:szCs w:val="16"/>
        </w:rPr>
        <w:footnoteRef/>
      </w:r>
      <w:r w:rsidRPr="005B4546">
        <w:rPr>
          <w:rFonts w:ascii="Arial Narrow" w:hAnsi="Arial Narrow"/>
          <w:sz w:val="16"/>
          <w:szCs w:val="16"/>
        </w:rPr>
        <w:t xml:space="preserve"> GVA is equivalent to GDP (gross domestic product) less taxes on production (net of subsidies)</w:t>
      </w:r>
    </w:p>
    <w:p w:rsidR="0055761B" w:rsidRDefault="0055761B" w:rsidP="0005447E">
      <w:pPr>
        <w:pStyle w:val="FootnoteText"/>
        <w:tabs>
          <w:tab w:val="left" w:pos="1418"/>
        </w:tabs>
      </w:pPr>
    </w:p>
  </w:footnote>
  <w:footnote w:id="2">
    <w:p w:rsidR="0055761B" w:rsidRPr="000204E6" w:rsidRDefault="0055761B" w:rsidP="0078064D">
      <w:pPr>
        <w:pStyle w:val="FootnoteText"/>
        <w:spacing w:after="0" w:line="240" w:lineRule="auto"/>
        <w:jc w:val="both"/>
        <w:rPr>
          <w:rFonts w:ascii="Arial Narrow" w:hAnsi="Arial Narrow"/>
          <w:sz w:val="16"/>
          <w:szCs w:val="16"/>
        </w:rPr>
      </w:pPr>
      <w:r w:rsidRPr="000204E6">
        <w:rPr>
          <w:rStyle w:val="FootnoteReference"/>
          <w:rFonts w:ascii="Arial Narrow" w:hAnsi="Arial Narrow"/>
          <w:szCs w:val="16"/>
        </w:rPr>
        <w:footnoteRef/>
      </w:r>
      <w:r w:rsidRPr="000204E6">
        <w:rPr>
          <w:rFonts w:ascii="Arial Narrow" w:hAnsi="Arial Narrow"/>
          <w:sz w:val="16"/>
          <w:szCs w:val="16"/>
        </w:rPr>
        <w:t xml:space="preserve"> There are various definitions of profit and it is useful to be clear about what definition is needed to calculate GVA. </w:t>
      </w:r>
      <w:r w:rsidRPr="000204E6">
        <w:rPr>
          <w:rFonts w:ascii="Arial Narrow" w:hAnsi="Arial Narrow"/>
          <w:b/>
          <w:sz w:val="16"/>
          <w:szCs w:val="16"/>
        </w:rPr>
        <w:t>Operating Profit</w:t>
      </w:r>
      <w:r w:rsidRPr="000204E6">
        <w:rPr>
          <w:rFonts w:ascii="Arial Narrow" w:hAnsi="Arial Narrow"/>
          <w:sz w:val="16"/>
          <w:szCs w:val="16"/>
        </w:rPr>
        <w:t xml:space="preserve"> is turnover minus the cost of sales, employee costs, depreciation and other overheads. It excludes any interest the company may earn or pay and taxes due. It is also known as</w:t>
      </w:r>
      <w:r w:rsidRPr="000204E6">
        <w:rPr>
          <w:rFonts w:ascii="Arial Narrow" w:hAnsi="Arial Narrow"/>
          <w:b/>
          <w:sz w:val="16"/>
          <w:szCs w:val="16"/>
        </w:rPr>
        <w:t xml:space="preserve"> Earnings Before Interest and Tax (EBIT</w:t>
      </w:r>
      <w:r w:rsidRPr="000204E6">
        <w:rPr>
          <w:rFonts w:ascii="Arial Narrow" w:hAnsi="Arial Narrow"/>
          <w:sz w:val="16"/>
          <w:szCs w:val="16"/>
        </w:rPr>
        <w:t xml:space="preserve">). </w:t>
      </w:r>
      <w:r w:rsidRPr="000204E6">
        <w:rPr>
          <w:rFonts w:ascii="Arial Narrow" w:hAnsi="Arial Narrow"/>
          <w:b/>
          <w:sz w:val="16"/>
          <w:szCs w:val="16"/>
        </w:rPr>
        <w:t xml:space="preserve">Gross Profit </w:t>
      </w:r>
      <w:r w:rsidRPr="000204E6">
        <w:rPr>
          <w:rFonts w:ascii="Arial Narrow" w:hAnsi="Arial Narrow"/>
          <w:sz w:val="16"/>
          <w:szCs w:val="16"/>
        </w:rPr>
        <w:t>is turnover minus the cost of sales (this excludes employee costs and overheads</w:t>
      </w:r>
      <w:r w:rsidRPr="000204E6">
        <w:rPr>
          <w:rFonts w:ascii="Arial Narrow" w:hAnsi="Arial Narrow"/>
          <w:b/>
          <w:sz w:val="16"/>
          <w:szCs w:val="16"/>
        </w:rPr>
        <w:t>). Net profit before tax</w:t>
      </w:r>
      <w:r w:rsidRPr="000204E6">
        <w:rPr>
          <w:rFonts w:ascii="Arial Narrow" w:hAnsi="Arial Narrow"/>
          <w:sz w:val="16"/>
          <w:szCs w:val="16"/>
        </w:rPr>
        <w:t xml:space="preserve"> is </w:t>
      </w:r>
      <w:r w:rsidRPr="000204E6">
        <w:rPr>
          <w:rFonts w:ascii="Arial Narrow" w:hAnsi="Arial Narrow"/>
          <w:b/>
          <w:sz w:val="16"/>
          <w:szCs w:val="16"/>
        </w:rPr>
        <w:t>Operating Profit</w:t>
      </w:r>
      <w:r w:rsidRPr="000204E6">
        <w:rPr>
          <w:rFonts w:ascii="Arial Narrow" w:hAnsi="Arial Narrow"/>
          <w:sz w:val="16"/>
          <w:szCs w:val="16"/>
        </w:rPr>
        <w:t xml:space="preserve"> minus interest. </w:t>
      </w:r>
      <w:r w:rsidRPr="000204E6">
        <w:rPr>
          <w:rFonts w:ascii="Arial Narrow" w:hAnsi="Arial Narrow"/>
          <w:b/>
          <w:sz w:val="16"/>
          <w:szCs w:val="16"/>
        </w:rPr>
        <w:t>Net profit after tax</w:t>
      </w:r>
      <w:r w:rsidRPr="000204E6">
        <w:rPr>
          <w:rFonts w:ascii="Arial Narrow" w:hAnsi="Arial Narrow"/>
          <w:sz w:val="16"/>
          <w:szCs w:val="16"/>
        </w:rPr>
        <w:t xml:space="preserve"> is the profit after all costs (including tax) have been deducted.</w:t>
      </w:r>
    </w:p>
  </w:footnote>
  <w:footnote w:id="3">
    <w:p w:rsidR="0055761B" w:rsidRPr="000204E6" w:rsidRDefault="0055761B" w:rsidP="0078064D">
      <w:pPr>
        <w:pStyle w:val="FootnoteText"/>
        <w:spacing w:after="0" w:line="240" w:lineRule="auto"/>
        <w:rPr>
          <w:rFonts w:ascii="Arial Narrow" w:hAnsi="Arial Narrow"/>
          <w:sz w:val="16"/>
          <w:szCs w:val="16"/>
        </w:rPr>
      </w:pPr>
      <w:r w:rsidRPr="000204E6">
        <w:rPr>
          <w:rStyle w:val="FootnoteReference"/>
          <w:rFonts w:ascii="Arial Narrow" w:hAnsi="Arial Narrow"/>
          <w:szCs w:val="16"/>
        </w:rPr>
        <w:footnoteRef/>
      </w:r>
      <w:r w:rsidRPr="000204E6">
        <w:rPr>
          <w:rFonts w:ascii="Arial Narrow" w:hAnsi="Arial Narrow"/>
          <w:sz w:val="16"/>
          <w:szCs w:val="16"/>
        </w:rPr>
        <w:t xml:space="preserve"> </w:t>
      </w:r>
      <w:r w:rsidRPr="000204E6">
        <w:rPr>
          <w:rFonts w:ascii="Arial Narrow" w:hAnsi="Arial Narrow" w:cs="Arial"/>
          <w:bCs/>
          <w:sz w:val="16"/>
          <w:szCs w:val="16"/>
        </w:rPr>
        <w:t>Including costs such as NI and pension contributions</w:t>
      </w:r>
      <w:r w:rsidR="00080EAB">
        <w:rPr>
          <w:rFonts w:ascii="Arial Narrow" w:hAnsi="Arial Narrow" w:cs="Arial"/>
          <w:bCs/>
          <w:sz w:val="16"/>
          <w:szCs w:val="16"/>
        </w:rPr>
        <w:t>.</w:t>
      </w:r>
    </w:p>
  </w:footnote>
  <w:footnote w:id="4">
    <w:p w:rsidR="0055761B" w:rsidRPr="000204E6" w:rsidRDefault="0055761B" w:rsidP="0078064D">
      <w:pPr>
        <w:pStyle w:val="FootnoteText"/>
        <w:spacing w:after="0" w:line="240" w:lineRule="auto"/>
        <w:rPr>
          <w:rFonts w:ascii="Arial Narrow" w:hAnsi="Arial Narrow"/>
          <w:sz w:val="16"/>
          <w:szCs w:val="16"/>
        </w:rPr>
      </w:pPr>
      <w:r w:rsidRPr="000204E6">
        <w:rPr>
          <w:rStyle w:val="FootnoteReference"/>
          <w:rFonts w:ascii="Arial Narrow" w:hAnsi="Arial Narrow"/>
          <w:szCs w:val="16"/>
        </w:rPr>
        <w:footnoteRef/>
      </w:r>
      <w:r w:rsidRPr="000204E6">
        <w:rPr>
          <w:rFonts w:ascii="Arial Narrow" w:hAnsi="Arial Narrow"/>
          <w:sz w:val="16"/>
          <w:szCs w:val="16"/>
        </w:rPr>
        <w:t xml:space="preserve"> </w:t>
      </w:r>
      <w:r w:rsidRPr="000204E6">
        <w:rPr>
          <w:rFonts w:ascii="Arial Narrow" w:hAnsi="Arial Narrow" w:cs="Arial"/>
          <w:bCs/>
          <w:i/>
          <w:sz w:val="16"/>
          <w:szCs w:val="16"/>
        </w:rPr>
        <w:t>Amortisation</w:t>
      </w:r>
      <w:r w:rsidRPr="000204E6">
        <w:rPr>
          <w:rFonts w:ascii="Arial Narrow" w:hAnsi="Arial Narrow" w:cs="Arial"/>
          <w:b/>
          <w:bCs/>
          <w:sz w:val="16"/>
          <w:szCs w:val="16"/>
        </w:rPr>
        <w:t xml:space="preserve"> </w:t>
      </w:r>
      <w:r w:rsidRPr="000204E6">
        <w:rPr>
          <w:rFonts w:ascii="Arial Narrow" w:hAnsi="Arial Narrow" w:cs="Arial"/>
          <w:sz w:val="16"/>
          <w:szCs w:val="16"/>
        </w:rPr>
        <w:t xml:space="preserve">is the writing off or depreciation of goodwill and other </w:t>
      </w:r>
      <w:r w:rsidRPr="000204E6">
        <w:rPr>
          <w:rFonts w:ascii="Arial Narrow" w:hAnsi="Arial Narrow" w:cs="Arial"/>
          <w:i/>
          <w:sz w:val="16"/>
          <w:szCs w:val="16"/>
        </w:rPr>
        <w:t>intangible</w:t>
      </w:r>
      <w:r w:rsidRPr="000204E6">
        <w:rPr>
          <w:rFonts w:ascii="Arial Narrow" w:hAnsi="Arial Narrow" w:cs="Arial"/>
          <w:sz w:val="16"/>
          <w:szCs w:val="16"/>
        </w:rPr>
        <w:t xml:space="preserve"> assets and will normally be reported in accounts if relevant.</w:t>
      </w:r>
    </w:p>
  </w:footnote>
  <w:footnote w:id="5">
    <w:p w:rsidR="0055761B" w:rsidRPr="000204E6" w:rsidRDefault="0055761B" w:rsidP="0078064D">
      <w:pPr>
        <w:pStyle w:val="FootnoteText"/>
        <w:spacing w:after="0" w:line="240" w:lineRule="auto"/>
        <w:rPr>
          <w:rFonts w:ascii="Arial Narrow" w:hAnsi="Arial Narrow"/>
          <w:sz w:val="16"/>
          <w:szCs w:val="16"/>
        </w:rPr>
      </w:pPr>
      <w:r w:rsidRPr="000204E6">
        <w:rPr>
          <w:rStyle w:val="FootnoteReference"/>
          <w:rFonts w:ascii="Arial Narrow" w:hAnsi="Arial Narrow"/>
          <w:szCs w:val="16"/>
        </w:rPr>
        <w:footnoteRef/>
      </w:r>
      <w:r w:rsidRPr="000204E6">
        <w:rPr>
          <w:rFonts w:ascii="Arial Narrow" w:hAnsi="Arial Narrow"/>
          <w:sz w:val="16"/>
          <w:szCs w:val="16"/>
        </w:rPr>
        <w:t xml:space="preserve"> Often amortisation data is not available in company accounts as it is judged not to be relevant. Accordingly it is often not included as part of the GVA calculations. It is, however, mentioned here for completeness.  </w:t>
      </w:r>
    </w:p>
  </w:footnote>
  <w:footnote w:id="6">
    <w:p w:rsidR="0055761B" w:rsidRPr="000204E6" w:rsidRDefault="0055761B" w:rsidP="0078064D">
      <w:pPr>
        <w:pStyle w:val="FootnoteText"/>
        <w:spacing w:after="0" w:line="240" w:lineRule="auto"/>
        <w:rPr>
          <w:rFonts w:ascii="Arial Narrow" w:hAnsi="Arial Narrow"/>
          <w:sz w:val="16"/>
          <w:szCs w:val="16"/>
        </w:rPr>
      </w:pPr>
      <w:r w:rsidRPr="000204E6">
        <w:rPr>
          <w:rStyle w:val="FootnoteReference"/>
          <w:rFonts w:ascii="Arial Narrow" w:hAnsi="Arial Narrow"/>
          <w:szCs w:val="16"/>
        </w:rPr>
        <w:footnoteRef/>
      </w:r>
      <w:r w:rsidRPr="000204E6">
        <w:rPr>
          <w:rFonts w:ascii="Arial Narrow" w:hAnsi="Arial Narrow"/>
          <w:sz w:val="16"/>
          <w:szCs w:val="16"/>
        </w:rPr>
        <w:t xml:space="preserve"> Such as raw materials and energy.</w:t>
      </w:r>
    </w:p>
  </w:footnote>
  <w:footnote w:id="7">
    <w:p w:rsidR="0055761B" w:rsidRPr="000204E6" w:rsidRDefault="0055761B" w:rsidP="0078064D">
      <w:pPr>
        <w:pStyle w:val="FootnoteText"/>
        <w:spacing w:after="0" w:line="240" w:lineRule="auto"/>
        <w:rPr>
          <w:rFonts w:ascii="Arial Narrow" w:hAnsi="Arial Narrow"/>
          <w:sz w:val="16"/>
          <w:szCs w:val="16"/>
        </w:rPr>
      </w:pPr>
      <w:r w:rsidRPr="000204E6">
        <w:rPr>
          <w:rStyle w:val="FootnoteReference"/>
          <w:rFonts w:ascii="Arial Narrow" w:hAnsi="Arial Narrow"/>
          <w:szCs w:val="16"/>
        </w:rPr>
        <w:footnoteRef/>
      </w:r>
      <w:r w:rsidRPr="000204E6">
        <w:rPr>
          <w:rFonts w:ascii="Arial Narrow" w:hAnsi="Arial Narrow"/>
          <w:sz w:val="16"/>
          <w:szCs w:val="16"/>
        </w:rPr>
        <w:t xml:space="preserve"> </w:t>
      </w:r>
      <w:hyperlink r:id="rId1" w:history="1"/>
      <w:r w:rsidRPr="000204E6">
        <w:rPr>
          <w:rFonts w:ascii="Arial Narrow" w:hAnsi="Arial Narrow"/>
          <w:sz w:val="16"/>
          <w:szCs w:val="16"/>
        </w:rPr>
        <w:t xml:space="preserve"> </w:t>
      </w:r>
      <w:hyperlink r:id="rId2" w:history="1">
        <w:r w:rsidR="0078064D" w:rsidRPr="004410BE">
          <w:rPr>
            <w:rStyle w:val="Hyperlink"/>
            <w:rFonts w:ascii="Arial Narrow" w:hAnsi="Arial Narrow"/>
            <w:sz w:val="16"/>
            <w:szCs w:val="16"/>
          </w:rPr>
          <w:t>http://www.gov.scot/Topics/Statistics/Browse/Business/SABS</w:t>
        </w:r>
      </w:hyperlink>
      <w:r w:rsidR="0078064D">
        <w:rPr>
          <w:rFonts w:ascii="Arial Narrow" w:hAnsi="Arial Narrow"/>
          <w:sz w:val="16"/>
          <w:szCs w:val="16"/>
        </w:rPr>
        <w:t xml:space="preserve"> </w:t>
      </w:r>
    </w:p>
    <w:p w:rsidR="0055761B" w:rsidRPr="008E2E25" w:rsidRDefault="0055761B" w:rsidP="0078064D">
      <w:pPr>
        <w:pStyle w:val="FootnoteText"/>
        <w:spacing w:after="0" w:line="240" w:lineRule="auto"/>
      </w:pPr>
    </w:p>
  </w:footnote>
  <w:footnote w:id="8">
    <w:p w:rsidR="0055761B" w:rsidRPr="000204E6" w:rsidRDefault="0055761B" w:rsidP="0078064D">
      <w:pPr>
        <w:pStyle w:val="FootnoteText"/>
        <w:spacing w:after="0" w:line="240" w:lineRule="auto"/>
        <w:rPr>
          <w:rFonts w:ascii="Arial Narrow" w:hAnsi="Arial Narrow"/>
          <w:sz w:val="16"/>
          <w:szCs w:val="16"/>
        </w:rPr>
      </w:pPr>
      <w:r>
        <w:rPr>
          <w:rStyle w:val="FootnoteReference"/>
        </w:rPr>
        <w:footnoteRef/>
      </w:r>
      <w:r>
        <w:t xml:space="preserve"> </w:t>
      </w:r>
      <w:hyperlink r:id="rId3" w:history="1">
        <w:r w:rsidR="0078064D" w:rsidRPr="004410BE">
          <w:rPr>
            <w:rStyle w:val="Hyperlink"/>
          </w:rPr>
          <w:t>http://www.gov.scot/Topics/Statistics/Browse/Business/SABS</w:t>
        </w:r>
      </w:hyperlink>
      <w:r w:rsidR="0078064D">
        <w:t xml:space="preserve"> </w:t>
      </w:r>
    </w:p>
  </w:footnote>
  <w:footnote w:id="9">
    <w:p w:rsidR="0055761B" w:rsidRPr="000204E6" w:rsidRDefault="0055761B" w:rsidP="0078064D">
      <w:pPr>
        <w:pStyle w:val="FootnoteText"/>
        <w:spacing w:after="0" w:line="240" w:lineRule="auto"/>
        <w:rPr>
          <w:rFonts w:ascii="Arial Narrow" w:hAnsi="Arial Narrow"/>
          <w:sz w:val="16"/>
          <w:szCs w:val="16"/>
        </w:rPr>
      </w:pPr>
      <w:r w:rsidRPr="000204E6">
        <w:rPr>
          <w:rStyle w:val="FootnoteReference"/>
          <w:rFonts w:ascii="Arial Narrow" w:hAnsi="Arial Narrow"/>
          <w:szCs w:val="16"/>
        </w:rPr>
        <w:footnoteRef/>
      </w:r>
      <w:r w:rsidRPr="000204E6">
        <w:rPr>
          <w:rFonts w:ascii="Arial Narrow" w:hAnsi="Arial Narrow"/>
          <w:sz w:val="16"/>
          <w:szCs w:val="16"/>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1B" w:rsidRPr="00074F03" w:rsidRDefault="0055761B">
    <w:pPr>
      <w:pStyle w:val="Header"/>
      <w:rPr>
        <w:rFonts w:ascii="Arial Narrow" w:hAnsi="Arial Narrow"/>
        <w:i/>
        <w:sz w:val="16"/>
        <w:szCs w:val="16"/>
      </w:rPr>
    </w:pPr>
    <w:r w:rsidRPr="00074F03">
      <w:rPr>
        <w:rFonts w:ascii="Arial Narrow" w:hAnsi="Arial Narrow"/>
        <w:i/>
        <w:sz w:val="16"/>
        <w:szCs w:val="16"/>
      </w:rPr>
      <w:t>Scottish Enterprise Economic Impact Guidance</w:t>
    </w:r>
  </w:p>
  <w:p w:rsidR="0055761B" w:rsidRDefault="0055761B">
    <w:pPr>
      <w:pStyle w:val="Header"/>
      <w:tabs>
        <w:tab w:val="right" w:pos="828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97D4E"/>
    <w:multiLevelType w:val="hybridMultilevel"/>
    <w:tmpl w:val="E05E2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86AAE"/>
    <w:multiLevelType w:val="hybridMultilevel"/>
    <w:tmpl w:val="48F2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E6857"/>
    <w:multiLevelType w:val="hybridMultilevel"/>
    <w:tmpl w:val="473C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204E6"/>
    <w:rsid w:val="00022FDB"/>
    <w:rsid w:val="00047D4F"/>
    <w:rsid w:val="00051A70"/>
    <w:rsid w:val="0005447E"/>
    <w:rsid w:val="000703AA"/>
    <w:rsid w:val="00074F03"/>
    <w:rsid w:val="00080EAB"/>
    <w:rsid w:val="00084641"/>
    <w:rsid w:val="000C7666"/>
    <w:rsid w:val="001052E3"/>
    <w:rsid w:val="00151E51"/>
    <w:rsid w:val="00154D61"/>
    <w:rsid w:val="00160CF1"/>
    <w:rsid w:val="001B4E10"/>
    <w:rsid w:val="001C0209"/>
    <w:rsid w:val="001F70AE"/>
    <w:rsid w:val="00206D48"/>
    <w:rsid w:val="0023162A"/>
    <w:rsid w:val="00266E10"/>
    <w:rsid w:val="002A6FAD"/>
    <w:rsid w:val="002C6559"/>
    <w:rsid w:val="00350FBE"/>
    <w:rsid w:val="00365131"/>
    <w:rsid w:val="00375B0F"/>
    <w:rsid w:val="003F43BE"/>
    <w:rsid w:val="00420276"/>
    <w:rsid w:val="004569AF"/>
    <w:rsid w:val="004C3FEC"/>
    <w:rsid w:val="0055761B"/>
    <w:rsid w:val="0056274E"/>
    <w:rsid w:val="005913E7"/>
    <w:rsid w:val="005A2988"/>
    <w:rsid w:val="005A741E"/>
    <w:rsid w:val="005B3B72"/>
    <w:rsid w:val="005B4546"/>
    <w:rsid w:val="006106E8"/>
    <w:rsid w:val="00644CDD"/>
    <w:rsid w:val="006567C2"/>
    <w:rsid w:val="00672F5F"/>
    <w:rsid w:val="00682225"/>
    <w:rsid w:val="00694346"/>
    <w:rsid w:val="00695A5A"/>
    <w:rsid w:val="006E2922"/>
    <w:rsid w:val="006E3E91"/>
    <w:rsid w:val="006F7C84"/>
    <w:rsid w:val="00702CD6"/>
    <w:rsid w:val="0070527B"/>
    <w:rsid w:val="007214DB"/>
    <w:rsid w:val="0078064D"/>
    <w:rsid w:val="007A46B1"/>
    <w:rsid w:val="008208C1"/>
    <w:rsid w:val="008674EE"/>
    <w:rsid w:val="00875DE4"/>
    <w:rsid w:val="00897E3B"/>
    <w:rsid w:val="008B2F68"/>
    <w:rsid w:val="008B6B5C"/>
    <w:rsid w:val="008C53B6"/>
    <w:rsid w:val="008E2E25"/>
    <w:rsid w:val="00903BAC"/>
    <w:rsid w:val="009164A9"/>
    <w:rsid w:val="009532A3"/>
    <w:rsid w:val="009546D2"/>
    <w:rsid w:val="009D4581"/>
    <w:rsid w:val="009F3660"/>
    <w:rsid w:val="00AA56C4"/>
    <w:rsid w:val="00B11086"/>
    <w:rsid w:val="00B1270B"/>
    <w:rsid w:val="00B8187A"/>
    <w:rsid w:val="00B82359"/>
    <w:rsid w:val="00B83F41"/>
    <w:rsid w:val="00BE099E"/>
    <w:rsid w:val="00BE38DC"/>
    <w:rsid w:val="00C31097"/>
    <w:rsid w:val="00C45EDD"/>
    <w:rsid w:val="00C46232"/>
    <w:rsid w:val="00C90DA8"/>
    <w:rsid w:val="00CE74EA"/>
    <w:rsid w:val="00D53CBF"/>
    <w:rsid w:val="00D7244D"/>
    <w:rsid w:val="00DA0242"/>
    <w:rsid w:val="00DE620D"/>
    <w:rsid w:val="00E00BD2"/>
    <w:rsid w:val="00E4679D"/>
    <w:rsid w:val="00EB31E7"/>
    <w:rsid w:val="00EF5198"/>
    <w:rsid w:val="00F23F96"/>
    <w:rsid w:val="00F52D62"/>
    <w:rsid w:val="00FA2C94"/>
    <w:rsid w:val="00FC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15:chartTrackingRefBased/>
  <w15:docId w15:val="{32D32A40-2CBB-459E-85D9-A99F6363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E7"/>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6106E8"/>
    <w:pPr>
      <w:keepNext/>
      <w:keepLines/>
      <w:spacing w:before="480"/>
      <w:outlineLvl w:val="0"/>
    </w:pPr>
    <w:rPr>
      <w:b/>
      <w:bCs/>
      <w:color w:val="365F91"/>
      <w:sz w:val="28"/>
      <w:szCs w:val="28"/>
    </w:rPr>
  </w:style>
  <w:style w:type="paragraph" w:styleId="Heading2">
    <w:name w:val="heading 2"/>
    <w:basedOn w:val="Normal"/>
    <w:next w:val="Normal"/>
    <w:qFormat/>
    <w:pPr>
      <w:spacing w:before="120"/>
      <w:outlineLvl w:val="1"/>
    </w:pPr>
    <w:rPr>
      <w:rFonts w:ascii="Times New Roman" w:hAnsi="Times New Roman"/>
      <w:b/>
      <w:sz w:val="28"/>
    </w:rPr>
  </w:style>
  <w:style w:type="paragraph" w:styleId="Heading3">
    <w:name w:val="heading 3"/>
    <w:basedOn w:val="Normal"/>
    <w:next w:val="Normal"/>
    <w:qFormat/>
    <w:rsid w:val="006106E8"/>
    <w:pPr>
      <w:keepNext/>
      <w:keepLines/>
      <w:spacing w:before="200"/>
      <w:outlineLvl w:val="2"/>
    </w:pPr>
    <w:rPr>
      <w:bCs/>
      <w:color w:val="4F81BD"/>
    </w:rPr>
  </w:style>
  <w:style w:type="paragraph" w:styleId="Heading4">
    <w:name w:val="heading 4"/>
    <w:basedOn w:val="Normal"/>
    <w:next w:val="NormalIndent"/>
    <w:qFormat/>
    <w:pPr>
      <w:ind w:left="283"/>
      <w:outlineLvl w:val="3"/>
    </w:pPr>
    <w:rPr>
      <w:u w:val="single"/>
    </w:rPr>
  </w:style>
  <w:style w:type="paragraph" w:styleId="Heading5">
    <w:name w:val="heading 5"/>
    <w:basedOn w:val="Normal"/>
    <w:next w:val="NormalIndent"/>
    <w:qFormat/>
    <w:pPr>
      <w:ind w:left="708"/>
      <w:outlineLvl w:val="4"/>
    </w:pPr>
    <w:rPr>
      <w:b/>
      <w:sz w:val="20"/>
    </w:rPr>
  </w:style>
  <w:style w:type="paragraph" w:styleId="Heading6">
    <w:name w:val="heading 6"/>
    <w:basedOn w:val="Normal"/>
    <w:next w:val="NormalIndent"/>
    <w:qFormat/>
    <w:pPr>
      <w:ind w:left="708"/>
      <w:outlineLvl w:val="5"/>
    </w:pPr>
    <w:rPr>
      <w:sz w:val="20"/>
      <w:u w:val="single"/>
    </w:rPr>
  </w:style>
  <w:style w:type="paragraph" w:styleId="Heading7">
    <w:name w:val="heading 7"/>
    <w:basedOn w:val="Normal"/>
    <w:next w:val="NormalIndent"/>
    <w:qFormat/>
    <w:pPr>
      <w:ind w:left="708"/>
      <w:outlineLvl w:val="6"/>
    </w:pPr>
    <w:rPr>
      <w:i/>
      <w:sz w:val="20"/>
    </w:rPr>
  </w:style>
  <w:style w:type="paragraph" w:styleId="Heading8">
    <w:name w:val="heading 8"/>
    <w:basedOn w:val="Normal"/>
    <w:next w:val="NormalIndent"/>
    <w:qFormat/>
    <w:pPr>
      <w:ind w:left="708"/>
      <w:outlineLvl w:val="7"/>
    </w:pPr>
    <w:rPr>
      <w:i/>
      <w:sz w:val="20"/>
    </w:rPr>
  </w:style>
  <w:style w:type="paragraph" w:styleId="Heading9">
    <w:name w:val="heading 9"/>
    <w:basedOn w:val="Normal"/>
    <w:next w:val="NormalIndent"/>
    <w:qFormat/>
    <w:pPr>
      <w:ind w:left="708"/>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08"/>
    </w:pPr>
  </w:style>
  <w:style w:type="paragraph" w:styleId="TOC3">
    <w:name w:val="toc 3"/>
    <w:basedOn w:val="Normal"/>
    <w:next w:val="Normal"/>
    <w:semiHidden/>
    <w:pPr>
      <w:tabs>
        <w:tab w:val="left" w:leader="dot" w:pos="8280"/>
        <w:tab w:val="right" w:pos="8640"/>
      </w:tabs>
      <w:ind w:left="1440" w:right="720"/>
    </w:pPr>
    <w:rPr>
      <w:rFonts w:ascii="Times New Roman" w:hAnsi="Times New Roman"/>
    </w:rPr>
  </w:style>
  <w:style w:type="paragraph" w:styleId="TOC2">
    <w:name w:val="toc 2"/>
    <w:basedOn w:val="Heading2"/>
    <w:next w:val="Normal"/>
    <w:rsid w:val="007A46B1"/>
    <w:pPr>
      <w:keepNext/>
      <w:keepLines/>
      <w:tabs>
        <w:tab w:val="right" w:pos="7230"/>
        <w:tab w:val="right" w:pos="10773"/>
      </w:tabs>
      <w:spacing w:before="0"/>
    </w:pPr>
    <w:rPr>
      <w:rFonts w:ascii="Calibri" w:hAnsi="Calibri"/>
      <w:b w:val="0"/>
      <w:bCs/>
      <w:noProof/>
      <w:color w:val="4F81BD"/>
      <w:sz w:val="20"/>
      <w:szCs w:val="28"/>
    </w:rPr>
  </w:style>
  <w:style w:type="paragraph" w:styleId="TOC1">
    <w:name w:val="toc 1"/>
    <w:basedOn w:val="Heading1"/>
    <w:next w:val="Normal"/>
    <w:rsid w:val="007A46B1"/>
    <w:pPr>
      <w:spacing w:after="100"/>
    </w:pPr>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wfxRecipient">
    <w:name w:val="wfxRecipient"/>
    <w:basedOn w:val="Normal"/>
  </w:style>
  <w:style w:type="paragraph" w:customStyle="1" w:styleId="wfxFaxNum">
    <w:name w:val="wfxFaxNum"/>
    <w:basedOn w:val="Normal"/>
  </w:style>
  <w:style w:type="character" w:customStyle="1" w:styleId="Heading1Char">
    <w:name w:val="Heading 1 Char"/>
    <w:link w:val="Heading1"/>
    <w:locked/>
    <w:rsid w:val="00E4679D"/>
    <w:rPr>
      <w:rFonts w:ascii="Calibri" w:eastAsia="Calibri" w:hAnsi="Calibri"/>
      <w:b/>
      <w:bCs/>
      <w:color w:val="365F91"/>
      <w:sz w:val="28"/>
      <w:szCs w:val="28"/>
      <w:lang w:val="en-GB" w:eastAsia="en-US" w:bidi="ar-SA"/>
    </w:rPr>
  </w:style>
  <w:style w:type="paragraph" w:styleId="ListParagraph">
    <w:name w:val="List Paragraph"/>
    <w:basedOn w:val="Normal"/>
    <w:link w:val="ListParagraphChar"/>
    <w:qFormat/>
    <w:rsid w:val="00E4679D"/>
    <w:pPr>
      <w:ind w:left="720"/>
      <w:contextualSpacing/>
    </w:pPr>
    <w:rPr>
      <w:rFonts w:eastAsia="Times New Roman"/>
      <w:sz w:val="20"/>
      <w:szCs w:val="20"/>
      <w:lang w:eastAsia="en-GB"/>
    </w:rPr>
  </w:style>
  <w:style w:type="character" w:styleId="Hyperlink">
    <w:name w:val="Hyperlink"/>
    <w:rsid w:val="00E4679D"/>
    <w:rPr>
      <w:rFonts w:cs="Times New Roman"/>
      <w:color w:val="0000FF"/>
      <w:u w:val="single"/>
    </w:rPr>
  </w:style>
  <w:style w:type="paragraph" w:customStyle="1" w:styleId="Default">
    <w:name w:val="Default"/>
    <w:rsid w:val="00E4679D"/>
    <w:pPr>
      <w:autoSpaceDE w:val="0"/>
      <w:autoSpaceDN w:val="0"/>
      <w:adjustRightInd w:val="0"/>
    </w:pPr>
    <w:rPr>
      <w:rFonts w:ascii="Calibri" w:eastAsia="Calibri" w:hAnsi="Calibri" w:cs="Calibri"/>
      <w:color w:val="000000"/>
      <w:sz w:val="24"/>
      <w:szCs w:val="24"/>
      <w:lang w:eastAsia="en-US"/>
    </w:rPr>
  </w:style>
  <w:style w:type="character" w:customStyle="1" w:styleId="ListParagraphChar">
    <w:name w:val="List Paragraph Char"/>
    <w:link w:val="ListParagraph"/>
    <w:locked/>
    <w:rsid w:val="00E4679D"/>
    <w:rPr>
      <w:rFonts w:ascii="Calibri" w:hAnsi="Calibri"/>
      <w:lang w:val="en-GB" w:eastAsia="en-GB" w:bidi="ar-SA"/>
    </w:rPr>
  </w:style>
  <w:style w:type="character" w:styleId="FollowedHyperlink">
    <w:name w:val="FollowedHyperlink"/>
    <w:rsid w:val="00FC182A"/>
    <w:rPr>
      <w:color w:val="800080"/>
      <w:u w:val="single"/>
    </w:rPr>
  </w:style>
  <w:style w:type="character" w:styleId="CommentReference">
    <w:name w:val="annotation reference"/>
    <w:rsid w:val="000C7666"/>
    <w:rPr>
      <w:sz w:val="16"/>
      <w:szCs w:val="16"/>
    </w:rPr>
  </w:style>
  <w:style w:type="paragraph" w:styleId="CommentText">
    <w:name w:val="annotation text"/>
    <w:basedOn w:val="Normal"/>
    <w:link w:val="CommentTextChar"/>
    <w:rsid w:val="000C7666"/>
    <w:rPr>
      <w:sz w:val="20"/>
      <w:szCs w:val="20"/>
    </w:rPr>
  </w:style>
  <w:style w:type="character" w:customStyle="1" w:styleId="CommentTextChar">
    <w:name w:val="Comment Text Char"/>
    <w:link w:val="CommentText"/>
    <w:rsid w:val="000C7666"/>
    <w:rPr>
      <w:rFonts w:ascii="Calibri" w:eastAsia="Calibri" w:hAnsi="Calibri"/>
      <w:lang w:eastAsia="en-US"/>
    </w:rPr>
  </w:style>
  <w:style w:type="paragraph" w:styleId="CommentSubject">
    <w:name w:val="annotation subject"/>
    <w:basedOn w:val="CommentText"/>
    <w:next w:val="CommentText"/>
    <w:link w:val="CommentSubjectChar"/>
    <w:rsid w:val="000C7666"/>
    <w:rPr>
      <w:b/>
      <w:bCs/>
    </w:rPr>
  </w:style>
  <w:style w:type="character" w:customStyle="1" w:styleId="CommentSubjectChar">
    <w:name w:val="Comment Subject Char"/>
    <w:link w:val="CommentSubject"/>
    <w:rsid w:val="000C7666"/>
    <w:rPr>
      <w:rFonts w:ascii="Calibri" w:eastAsia="Calibri" w:hAnsi="Calibri"/>
      <w:b/>
      <w:bCs/>
      <w:lang w:eastAsia="en-US"/>
    </w:rPr>
  </w:style>
  <w:style w:type="paragraph" w:styleId="BalloonText">
    <w:name w:val="Balloon Text"/>
    <w:basedOn w:val="Normal"/>
    <w:link w:val="BalloonTextChar"/>
    <w:rsid w:val="000C7666"/>
    <w:pPr>
      <w:spacing w:after="0" w:line="240" w:lineRule="auto"/>
    </w:pPr>
    <w:rPr>
      <w:rFonts w:ascii="Tahoma" w:hAnsi="Tahoma" w:cs="Tahoma"/>
      <w:sz w:val="16"/>
      <w:szCs w:val="16"/>
    </w:rPr>
  </w:style>
  <w:style w:type="character" w:customStyle="1" w:styleId="BalloonTextChar">
    <w:name w:val="Balloon Text Char"/>
    <w:link w:val="BalloonText"/>
    <w:rsid w:val="000C7666"/>
    <w:rPr>
      <w:rFonts w:ascii="Tahoma" w:eastAsia="Calibri" w:hAnsi="Tahoma" w:cs="Tahoma"/>
      <w:sz w:val="16"/>
      <w:szCs w:val="16"/>
      <w:lang w:eastAsia="en-US"/>
    </w:rPr>
  </w:style>
  <w:style w:type="character" w:customStyle="1" w:styleId="FooterChar">
    <w:name w:val="Footer Char"/>
    <w:link w:val="Footer"/>
    <w:uiPriority w:val="99"/>
    <w:rsid w:val="00074F03"/>
    <w:rPr>
      <w:rFonts w:ascii="Calibri" w:eastAsia="Calibri" w:hAnsi="Calibri"/>
      <w:sz w:val="22"/>
      <w:szCs w:val="22"/>
      <w:lang w:eastAsia="en-US"/>
    </w:rPr>
  </w:style>
  <w:style w:type="character" w:customStyle="1" w:styleId="HeaderChar">
    <w:name w:val="Header Char"/>
    <w:link w:val="Header"/>
    <w:uiPriority w:val="99"/>
    <w:rsid w:val="00074F0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otland.gov.uk/About/scotPerforms/purpo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anne.fleming@scotent.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ov.scot/Topics/Statistics/Browse/Business/SABS" TargetMode="External"/><Relationship Id="rId2" Type="http://schemas.openxmlformats.org/officeDocument/2006/relationships/hyperlink" Target="http://www.gov.scot/Topics/Statistics/Browse/Business/SABS" TargetMode="External"/><Relationship Id="rId1" Type="http://schemas.openxmlformats.org/officeDocument/2006/relationships/hyperlink" Target="http://www.scotland.gov.uk/Resource/0040/004020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2E2AAF-96AC-4F60-A669-5C789C45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Gross Value Add (GVA)</vt:lpstr>
    </vt:vector>
  </TitlesOfParts>
  <Company>Scottish Enterprise</Company>
  <LinksUpToDate>false</LinksUpToDate>
  <CharactersWithSpaces>6460</CharactersWithSpaces>
  <SharedDoc>false</SharedDoc>
  <HLinks>
    <vt:vector size="30" baseType="variant">
      <vt:variant>
        <vt:i4>4587644</vt:i4>
      </vt:variant>
      <vt:variant>
        <vt:i4>3</vt:i4>
      </vt:variant>
      <vt:variant>
        <vt:i4>0</vt:i4>
      </vt:variant>
      <vt:variant>
        <vt:i4>5</vt:i4>
      </vt:variant>
      <vt:variant>
        <vt:lpwstr>mailto:Suzanne.fleming@scotent.co.uk</vt:lpwstr>
      </vt:variant>
      <vt:variant>
        <vt:lpwstr/>
      </vt:variant>
      <vt:variant>
        <vt:i4>917577</vt:i4>
      </vt:variant>
      <vt:variant>
        <vt:i4>0</vt:i4>
      </vt:variant>
      <vt:variant>
        <vt:i4>0</vt:i4>
      </vt:variant>
      <vt:variant>
        <vt:i4>5</vt:i4>
      </vt:variant>
      <vt:variant>
        <vt:lpwstr>http://www.scotland.gov.uk/About/scotPerforms/purpose</vt:lpwstr>
      </vt:variant>
      <vt:variant>
        <vt:lpwstr/>
      </vt:variant>
      <vt:variant>
        <vt:i4>7209069</vt:i4>
      </vt:variant>
      <vt:variant>
        <vt:i4>6</vt:i4>
      </vt:variant>
      <vt:variant>
        <vt:i4>0</vt:i4>
      </vt:variant>
      <vt:variant>
        <vt:i4>5</vt:i4>
      </vt:variant>
      <vt:variant>
        <vt:lpwstr>http://www.gov.scot/Topics/Statistics/Browse/Business/SABS</vt:lpwstr>
      </vt:variant>
      <vt:variant>
        <vt:lpwstr/>
      </vt:variant>
      <vt:variant>
        <vt:i4>7209069</vt:i4>
      </vt:variant>
      <vt:variant>
        <vt:i4>3</vt:i4>
      </vt:variant>
      <vt:variant>
        <vt:i4>0</vt:i4>
      </vt:variant>
      <vt:variant>
        <vt:i4>5</vt:i4>
      </vt:variant>
      <vt:variant>
        <vt:lpwstr>http://www.gov.scot/Topics/Statistics/Browse/Business/SABS</vt:lpwstr>
      </vt:variant>
      <vt:variant>
        <vt:lpwstr/>
      </vt:variant>
      <vt:variant>
        <vt:i4>4259912</vt:i4>
      </vt:variant>
      <vt:variant>
        <vt:i4>0</vt:i4>
      </vt:variant>
      <vt:variant>
        <vt:i4>0</vt:i4>
      </vt:variant>
      <vt:variant>
        <vt:i4>5</vt:i4>
      </vt:variant>
      <vt:variant>
        <vt:lpwstr>http://www.scotland.gov.uk/Resource/0040/00402047.pdf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Value Add (GVA)</dc:title>
  <dc:subject/>
  <dc:creator>inglii</dc:creator>
  <cp:keywords/>
  <cp:lastModifiedBy>Stacey Dingwall</cp:lastModifiedBy>
  <cp:revision>2</cp:revision>
  <cp:lastPrinted>2012-10-23T10:34:00Z</cp:lastPrinted>
  <dcterms:created xsi:type="dcterms:W3CDTF">2017-03-01T10:44:00Z</dcterms:created>
  <dcterms:modified xsi:type="dcterms:W3CDTF">2017-03-01T10:44:00Z</dcterms:modified>
</cp:coreProperties>
</file>