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17" w:rsidRPr="003D4B17" w:rsidRDefault="005E6C15" w:rsidP="003D4B17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Impact Deliver</w:t>
      </w:r>
      <w:r w:rsidR="003B5987">
        <w:rPr>
          <w:rFonts w:ascii="Arial Narrow" w:hAnsi="Arial Narrow"/>
          <w:b/>
          <w:sz w:val="36"/>
          <w:szCs w:val="36"/>
        </w:rPr>
        <w:t>y</w:t>
      </w:r>
      <w:r>
        <w:rPr>
          <w:rFonts w:ascii="Arial Narrow" w:hAnsi="Arial Narrow"/>
          <w:b/>
          <w:sz w:val="36"/>
          <w:szCs w:val="36"/>
        </w:rPr>
        <w:t>, Build,</w:t>
      </w:r>
      <w:r w:rsidR="003D4B17" w:rsidRPr="003D4B17">
        <w:rPr>
          <w:rFonts w:ascii="Arial Narrow" w:hAnsi="Arial Narrow"/>
          <w:b/>
          <w:sz w:val="36"/>
          <w:szCs w:val="36"/>
        </w:rPr>
        <w:t xml:space="preserve"> Persistence and Decay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34"/>
      </w:tblGrid>
      <w:tr w:rsidR="003D4B17" w:rsidRPr="00464338" w:rsidTr="005E6C15">
        <w:tc>
          <w:tcPr>
            <w:tcW w:w="9134" w:type="dxa"/>
            <w:shd w:val="clear" w:color="auto" w:fill="95B3D7"/>
          </w:tcPr>
          <w:p w:rsidR="003D4B17" w:rsidRPr="00464338" w:rsidRDefault="005E6C15" w:rsidP="005E6C1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When public sector economic development interventions are implemented their impacts can be affected by, </w:t>
            </w:r>
            <w:r w:rsidRPr="005E6C15">
              <w:rPr>
                <w:rFonts w:ascii="Arial Narrow" w:hAnsi="Arial Narrow"/>
                <w:b/>
                <w:i/>
                <w:sz w:val="24"/>
                <w:szCs w:val="24"/>
              </w:rPr>
              <w:t>inter alia,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four </w:t>
            </w:r>
            <w:r w:rsidR="003B5987">
              <w:rPr>
                <w:rFonts w:ascii="Arial Narrow" w:hAnsi="Arial Narrow"/>
                <w:b/>
                <w:sz w:val="24"/>
                <w:szCs w:val="24"/>
              </w:rPr>
              <w:t xml:space="preserve">temporal </w:t>
            </w:r>
            <w:r>
              <w:rPr>
                <w:rFonts w:ascii="Arial Narrow" w:hAnsi="Arial Narrow"/>
                <w:b/>
                <w:sz w:val="24"/>
                <w:szCs w:val="24"/>
              </w:rPr>
              <w:t>factors: the time between resources being spent and benefits arising; the period over which the benefits build before they peak; how long these benefits last, that is their persistence; and the rate at which the benefits decrease, that is decay, over time.</w:t>
            </w:r>
          </w:p>
        </w:tc>
      </w:tr>
    </w:tbl>
    <w:p w:rsidR="003D4B17" w:rsidRPr="00464338" w:rsidRDefault="003D4B17" w:rsidP="003D4B1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D4B17" w:rsidRPr="00464338" w:rsidRDefault="003D4B17" w:rsidP="003D4B17">
      <w:pPr>
        <w:jc w:val="both"/>
        <w:rPr>
          <w:rFonts w:ascii="Arial Narrow" w:hAnsi="Arial Narrow"/>
          <w:b/>
          <w:sz w:val="28"/>
          <w:szCs w:val="28"/>
        </w:rPr>
      </w:pPr>
      <w:r w:rsidRPr="00464338">
        <w:rPr>
          <w:rFonts w:ascii="Arial Narrow" w:hAnsi="Arial Narrow"/>
          <w:b/>
          <w:sz w:val="28"/>
          <w:szCs w:val="28"/>
        </w:rPr>
        <w:t>Why is it important?</w:t>
      </w:r>
    </w:p>
    <w:p w:rsidR="003D4B17" w:rsidRDefault="005E6C15" w:rsidP="003D4B1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When SE intervenes in the market it is important to try to understand the dynamics of these interventions</w:t>
      </w:r>
      <w:r w:rsidR="003B5987">
        <w:rPr>
          <w:rFonts w:ascii="Arial Narrow" w:hAnsi="Arial Narrow"/>
          <w:sz w:val="24"/>
          <w:szCs w:val="24"/>
        </w:rPr>
        <w:t xml:space="preserve">. </w:t>
      </w:r>
      <w:r w:rsidR="00A51CEE">
        <w:rPr>
          <w:rFonts w:ascii="Arial Narrow" w:hAnsi="Arial Narrow"/>
          <w:sz w:val="24"/>
          <w:szCs w:val="24"/>
        </w:rPr>
        <w:t xml:space="preserve"> </w:t>
      </w:r>
      <w:r w:rsidR="003B5987">
        <w:rPr>
          <w:rFonts w:ascii="Arial Narrow" w:hAnsi="Arial Narrow"/>
          <w:sz w:val="24"/>
          <w:szCs w:val="24"/>
        </w:rPr>
        <w:t xml:space="preserve">For example, benefits do not arise instantaneously nor will they last forever. </w:t>
      </w:r>
      <w:r w:rsidR="00A51CEE">
        <w:rPr>
          <w:rFonts w:ascii="Arial Narrow" w:hAnsi="Arial Narrow"/>
          <w:sz w:val="24"/>
          <w:szCs w:val="24"/>
        </w:rPr>
        <w:t xml:space="preserve"> </w:t>
      </w:r>
      <w:r w:rsidR="003B5987">
        <w:rPr>
          <w:rFonts w:ascii="Arial Narrow" w:hAnsi="Arial Narrow"/>
          <w:sz w:val="24"/>
          <w:szCs w:val="24"/>
        </w:rPr>
        <w:t>However, the extent to which there is evidence</w:t>
      </w:r>
      <w:r w:rsidR="00BD0766">
        <w:rPr>
          <w:rFonts w:ascii="Arial Narrow" w:hAnsi="Arial Narrow"/>
          <w:sz w:val="24"/>
          <w:szCs w:val="24"/>
        </w:rPr>
        <w:t xml:space="preserve"> </w:t>
      </w:r>
      <w:r w:rsidR="003B5987">
        <w:rPr>
          <w:rFonts w:ascii="Arial Narrow" w:hAnsi="Arial Narrow"/>
          <w:sz w:val="24"/>
          <w:szCs w:val="24"/>
        </w:rPr>
        <w:t xml:space="preserve">based information on which to base such understanding is limited, with many evaluations and appraisals making no explicit mention of the timing factors that affect impact delivery. </w:t>
      </w:r>
      <w:r w:rsidR="00A51CEE">
        <w:rPr>
          <w:rFonts w:ascii="Arial Narrow" w:hAnsi="Arial Narrow"/>
          <w:sz w:val="24"/>
          <w:szCs w:val="24"/>
        </w:rPr>
        <w:t xml:space="preserve"> </w:t>
      </w:r>
      <w:r w:rsidR="003B5987">
        <w:rPr>
          <w:rFonts w:ascii="Arial Narrow" w:hAnsi="Arial Narrow"/>
          <w:sz w:val="24"/>
          <w:szCs w:val="24"/>
        </w:rPr>
        <w:t>However, it is important that these factors should, at a min</w:t>
      </w:r>
      <w:r w:rsidR="00246440">
        <w:rPr>
          <w:rFonts w:ascii="Arial Narrow" w:hAnsi="Arial Narrow"/>
          <w:sz w:val="24"/>
          <w:szCs w:val="24"/>
        </w:rPr>
        <w:t>im</w:t>
      </w:r>
      <w:r w:rsidR="003B5987">
        <w:rPr>
          <w:rFonts w:ascii="Arial Narrow" w:hAnsi="Arial Narrow"/>
          <w:sz w:val="24"/>
          <w:szCs w:val="24"/>
        </w:rPr>
        <w:t>um</w:t>
      </w:r>
      <w:r w:rsidR="00363D1F">
        <w:rPr>
          <w:rFonts w:ascii="Arial Narrow" w:hAnsi="Arial Narrow"/>
          <w:sz w:val="24"/>
          <w:szCs w:val="24"/>
        </w:rPr>
        <w:t>,</w:t>
      </w:r>
      <w:r w:rsidR="003B5987">
        <w:rPr>
          <w:rFonts w:ascii="Arial Narrow" w:hAnsi="Arial Narrow"/>
          <w:sz w:val="24"/>
          <w:szCs w:val="24"/>
        </w:rPr>
        <w:t xml:space="preserve"> be recognised as they can have a</w:t>
      </w:r>
      <w:r w:rsidR="00246440">
        <w:rPr>
          <w:rFonts w:ascii="Arial Narrow" w:hAnsi="Arial Narrow"/>
          <w:sz w:val="24"/>
          <w:szCs w:val="24"/>
        </w:rPr>
        <w:t xml:space="preserve"> </w:t>
      </w:r>
      <w:r w:rsidR="003B5987">
        <w:rPr>
          <w:rFonts w:ascii="Arial Narrow" w:hAnsi="Arial Narrow"/>
          <w:sz w:val="24"/>
          <w:szCs w:val="24"/>
        </w:rPr>
        <w:t xml:space="preserve">significant </w:t>
      </w:r>
      <w:r w:rsidR="00246440">
        <w:rPr>
          <w:rFonts w:ascii="Arial Narrow" w:hAnsi="Arial Narrow"/>
          <w:sz w:val="24"/>
          <w:szCs w:val="24"/>
        </w:rPr>
        <w:t xml:space="preserve">effect on impacts. </w:t>
      </w:r>
      <w:r w:rsidR="00A51CEE">
        <w:rPr>
          <w:rFonts w:ascii="Arial Narrow" w:hAnsi="Arial Narrow"/>
          <w:sz w:val="24"/>
          <w:szCs w:val="24"/>
        </w:rPr>
        <w:t xml:space="preserve"> </w:t>
      </w:r>
      <w:r w:rsidR="00246440">
        <w:rPr>
          <w:rFonts w:ascii="Arial Narrow" w:hAnsi="Arial Narrow"/>
          <w:sz w:val="24"/>
          <w:szCs w:val="24"/>
        </w:rPr>
        <w:t>For example,</w:t>
      </w:r>
      <w:r w:rsidR="003B5987">
        <w:rPr>
          <w:rFonts w:ascii="Arial Narrow" w:hAnsi="Arial Narrow"/>
          <w:sz w:val="24"/>
          <w:szCs w:val="24"/>
        </w:rPr>
        <w:t xml:space="preserve"> </w:t>
      </w:r>
      <w:r w:rsidR="00246440">
        <w:rPr>
          <w:rFonts w:ascii="Arial Narrow" w:hAnsi="Arial Narrow"/>
          <w:sz w:val="24"/>
          <w:szCs w:val="24"/>
        </w:rPr>
        <w:t>o</w:t>
      </w:r>
      <w:r w:rsidR="003B5987">
        <w:rPr>
          <w:rFonts w:ascii="Arial Narrow" w:hAnsi="Arial Narrow"/>
          <w:sz w:val="24"/>
          <w:szCs w:val="24"/>
        </w:rPr>
        <w:t xml:space="preserve">ne of the few </w:t>
      </w:r>
      <w:r w:rsidR="00246440">
        <w:rPr>
          <w:rFonts w:ascii="Arial Narrow" w:hAnsi="Arial Narrow"/>
          <w:sz w:val="24"/>
          <w:szCs w:val="24"/>
        </w:rPr>
        <w:t xml:space="preserve">evaluations </w:t>
      </w:r>
      <w:r w:rsidR="003B5987">
        <w:rPr>
          <w:rFonts w:ascii="Arial Narrow" w:hAnsi="Arial Narrow"/>
          <w:sz w:val="24"/>
          <w:szCs w:val="24"/>
        </w:rPr>
        <w:t xml:space="preserve">that </w:t>
      </w:r>
      <w:r w:rsidR="00246440">
        <w:rPr>
          <w:rFonts w:ascii="Arial Narrow" w:hAnsi="Arial Narrow"/>
          <w:sz w:val="24"/>
          <w:szCs w:val="24"/>
        </w:rPr>
        <w:t>considered the impact of the timing of the deliver</w:t>
      </w:r>
      <w:r w:rsidR="00BD0766">
        <w:rPr>
          <w:rFonts w:ascii="Arial Narrow" w:hAnsi="Arial Narrow"/>
          <w:sz w:val="24"/>
          <w:szCs w:val="24"/>
        </w:rPr>
        <w:t>y</w:t>
      </w:r>
      <w:r w:rsidR="00246440">
        <w:rPr>
          <w:rFonts w:ascii="Arial Narrow" w:hAnsi="Arial Narrow"/>
          <w:sz w:val="24"/>
          <w:szCs w:val="24"/>
        </w:rPr>
        <w:t xml:space="preserve"> of benefits</w:t>
      </w:r>
      <w:r w:rsidR="00246440">
        <w:rPr>
          <w:rStyle w:val="FootnoteReference"/>
          <w:rFonts w:ascii="Arial Narrow" w:hAnsi="Arial Narrow"/>
          <w:sz w:val="24"/>
          <w:szCs w:val="24"/>
        </w:rPr>
        <w:footnoteReference w:id="1"/>
      </w:r>
      <w:r w:rsidR="00246440">
        <w:rPr>
          <w:rFonts w:ascii="Arial Narrow" w:hAnsi="Arial Narrow"/>
          <w:sz w:val="24"/>
          <w:szCs w:val="24"/>
        </w:rPr>
        <w:t xml:space="preserve"> found that, for Business Development and Competiveness Interventions:-</w:t>
      </w:r>
    </w:p>
    <w:p w:rsidR="00246440" w:rsidRDefault="00246440" w:rsidP="00246440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246440">
        <w:rPr>
          <w:rFonts w:ascii="Arial Narrow" w:hAnsi="Arial Narrow"/>
          <w:sz w:val="24"/>
          <w:szCs w:val="24"/>
        </w:rPr>
        <w:t>Increasing the assumption about the time benefits lasted</w:t>
      </w:r>
      <w:r>
        <w:rPr>
          <w:rFonts w:ascii="Arial Narrow" w:hAnsi="Arial Narrow"/>
          <w:sz w:val="24"/>
          <w:szCs w:val="24"/>
        </w:rPr>
        <w:t xml:space="preserve"> for individual enterprise and sector/cluster support (their persistence)</w:t>
      </w:r>
      <w:r w:rsidRPr="00246440">
        <w:rPr>
          <w:rFonts w:ascii="Arial Narrow" w:hAnsi="Arial Narrow"/>
          <w:sz w:val="24"/>
          <w:szCs w:val="24"/>
        </w:rPr>
        <w:t xml:space="preserve"> from three to four years</w:t>
      </w:r>
      <w:r>
        <w:rPr>
          <w:rFonts w:ascii="Arial Narrow" w:hAnsi="Arial Narrow"/>
          <w:sz w:val="24"/>
          <w:szCs w:val="24"/>
        </w:rPr>
        <w:t xml:space="preserve"> resulted in the Net Present Value (NPV) of the cumulative benefits increasing by 29%; and</w:t>
      </w:r>
    </w:p>
    <w:p w:rsidR="00246440" w:rsidRDefault="00246440" w:rsidP="00246440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If the rate of decay was assumed to be 0% rather than 10% per year then the NPV of the benefits of individual enterprise and sectior/cluster support increased by 10%</w:t>
      </w:r>
      <w:r w:rsidR="007573D1">
        <w:rPr>
          <w:rFonts w:ascii="Arial Narrow" w:hAnsi="Arial Narrow"/>
          <w:sz w:val="24"/>
          <w:szCs w:val="24"/>
        </w:rPr>
        <w:t xml:space="preserve"> and 21% for inward investment.</w:t>
      </w:r>
    </w:p>
    <w:p w:rsidR="007573D1" w:rsidRDefault="007573D1" w:rsidP="007573D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It would therefore seem that changing these assumptions only slightly can have a considerable effect upon impacts.</w:t>
      </w:r>
    </w:p>
    <w:p w:rsidR="007573D1" w:rsidRPr="007573D1" w:rsidRDefault="007573D1" w:rsidP="007573D1">
      <w:pPr>
        <w:jc w:val="both"/>
        <w:rPr>
          <w:rFonts w:ascii="Arial Narrow" w:hAnsi="Arial Narrow"/>
          <w:b/>
          <w:sz w:val="28"/>
          <w:szCs w:val="28"/>
        </w:rPr>
      </w:pPr>
      <w:r w:rsidRPr="007573D1">
        <w:rPr>
          <w:rFonts w:ascii="Arial Narrow" w:hAnsi="Arial Narrow"/>
          <w:b/>
          <w:sz w:val="28"/>
          <w:szCs w:val="28"/>
        </w:rPr>
        <w:t>What should be taken account of?</w:t>
      </w:r>
    </w:p>
    <w:p w:rsidR="003D4B17" w:rsidRDefault="006B40F8" w:rsidP="003D4B1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7573D1">
        <w:rPr>
          <w:rFonts w:ascii="Arial Narrow" w:hAnsi="Arial Narrow"/>
          <w:sz w:val="24"/>
          <w:szCs w:val="24"/>
        </w:rPr>
        <w:t>he meta-evaluation of the Regional Development Agencies</w:t>
      </w:r>
      <w:r w:rsidR="00567ADE">
        <w:rPr>
          <w:rFonts w:ascii="Arial Narrow" w:hAnsi="Arial Narrow"/>
          <w:sz w:val="24"/>
          <w:szCs w:val="24"/>
        </w:rPr>
        <w:t xml:space="preserve"> (RDA)</w:t>
      </w:r>
      <w:r w:rsidR="007573D1">
        <w:rPr>
          <w:rFonts w:ascii="Arial Narrow" w:hAnsi="Arial Narrow"/>
          <w:sz w:val="24"/>
          <w:szCs w:val="24"/>
        </w:rPr>
        <w:t xml:space="preserve"> mentioned above</w:t>
      </w:r>
      <w:r w:rsidR="007573D1">
        <w:rPr>
          <w:rStyle w:val="FootnoteReference"/>
          <w:rFonts w:ascii="Arial Narrow" w:hAnsi="Arial Narrow"/>
          <w:sz w:val="24"/>
          <w:szCs w:val="24"/>
        </w:rPr>
        <w:footnoteReference w:id="2"/>
      </w:r>
      <w:r w:rsidR="007573D1">
        <w:rPr>
          <w:rFonts w:ascii="Arial Narrow" w:hAnsi="Arial Narrow"/>
          <w:sz w:val="24"/>
          <w:szCs w:val="24"/>
        </w:rPr>
        <w:t xml:space="preserve"> highlights four factors that should be taken into account when looking at the effect that time can have upon the delivery of impacts</w:t>
      </w:r>
      <w:r w:rsidR="00363D1F">
        <w:rPr>
          <w:rFonts w:ascii="Arial Narrow" w:hAnsi="Arial Narrow"/>
          <w:sz w:val="24"/>
          <w:szCs w:val="24"/>
        </w:rPr>
        <w:t xml:space="preserve">. </w:t>
      </w:r>
      <w:r w:rsidR="00A51CEE">
        <w:rPr>
          <w:rFonts w:ascii="Arial Narrow" w:hAnsi="Arial Narrow"/>
          <w:sz w:val="24"/>
          <w:szCs w:val="24"/>
        </w:rPr>
        <w:t xml:space="preserve"> </w:t>
      </w:r>
      <w:r w:rsidR="00363D1F">
        <w:rPr>
          <w:rFonts w:ascii="Arial Narrow" w:hAnsi="Arial Narrow"/>
          <w:sz w:val="24"/>
          <w:szCs w:val="24"/>
        </w:rPr>
        <w:t>These are derived from marketin</w:t>
      </w:r>
      <w:r>
        <w:rPr>
          <w:rFonts w:ascii="Arial Narrow" w:hAnsi="Arial Narrow"/>
          <w:sz w:val="24"/>
          <w:szCs w:val="24"/>
        </w:rPr>
        <w:t>g</w:t>
      </w:r>
      <w:r w:rsidR="00363D1F">
        <w:rPr>
          <w:rFonts w:ascii="Arial Narrow" w:hAnsi="Arial Narrow"/>
          <w:sz w:val="24"/>
          <w:szCs w:val="24"/>
        </w:rPr>
        <w:t>, being essentially the</w:t>
      </w:r>
      <w:r>
        <w:rPr>
          <w:rFonts w:ascii="Arial Narrow" w:hAnsi="Arial Narrow"/>
          <w:sz w:val="24"/>
          <w:szCs w:val="24"/>
        </w:rPr>
        <w:t xml:space="preserve"> basi</w:t>
      </w:r>
      <w:r w:rsidR="00363D1F">
        <w:rPr>
          <w:rFonts w:ascii="Arial Narrow" w:hAnsi="Arial Narrow"/>
          <w:sz w:val="24"/>
          <w:szCs w:val="24"/>
        </w:rPr>
        <w:t>c stages in the product life cycle</w:t>
      </w:r>
      <w:r w:rsidR="00363D1F">
        <w:rPr>
          <w:rStyle w:val="FootnoteReference"/>
          <w:rFonts w:ascii="Arial Narrow" w:hAnsi="Arial Narrow"/>
          <w:sz w:val="24"/>
          <w:szCs w:val="24"/>
        </w:rPr>
        <w:footnoteReference w:id="3"/>
      </w:r>
      <w:r w:rsidR="00363D1F">
        <w:rPr>
          <w:rFonts w:ascii="Arial Narrow" w:hAnsi="Arial Narrow"/>
          <w:sz w:val="24"/>
          <w:szCs w:val="24"/>
        </w:rPr>
        <w:t xml:space="preserve">. </w:t>
      </w:r>
      <w:r w:rsidR="00A51CEE">
        <w:rPr>
          <w:rFonts w:ascii="Arial Narrow" w:hAnsi="Arial Narrow"/>
          <w:sz w:val="24"/>
          <w:szCs w:val="24"/>
        </w:rPr>
        <w:t xml:space="preserve"> </w:t>
      </w:r>
      <w:r w:rsidR="00363D1F">
        <w:rPr>
          <w:rFonts w:ascii="Arial Narrow" w:hAnsi="Arial Narrow"/>
          <w:sz w:val="24"/>
          <w:szCs w:val="24"/>
        </w:rPr>
        <w:t xml:space="preserve">The stages are:- </w:t>
      </w:r>
    </w:p>
    <w:p w:rsidR="007573D1" w:rsidRDefault="007573D1" w:rsidP="007573D1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34370D">
        <w:rPr>
          <w:rFonts w:ascii="Arial Narrow" w:hAnsi="Arial Narrow"/>
          <w:sz w:val="24"/>
          <w:szCs w:val="24"/>
        </w:rPr>
        <w:t xml:space="preserve">The length of time </w:t>
      </w:r>
      <w:r w:rsidR="0034370D">
        <w:rPr>
          <w:rFonts w:ascii="Arial Narrow" w:hAnsi="Arial Narrow"/>
          <w:sz w:val="24"/>
          <w:szCs w:val="24"/>
        </w:rPr>
        <w:t>between spending resources and the benefits beginning to appear</w:t>
      </w:r>
      <w:r w:rsidR="00F40B9E">
        <w:rPr>
          <w:rFonts w:ascii="Arial Narrow" w:hAnsi="Arial Narrow"/>
          <w:sz w:val="24"/>
          <w:szCs w:val="24"/>
        </w:rPr>
        <w:t>. For some interventions, especially infrastructure, this could be a lengthy period;</w:t>
      </w:r>
    </w:p>
    <w:p w:rsidR="00F40B9E" w:rsidRDefault="00F40B9E" w:rsidP="007573D1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Once benefits begin to appear then it will take time before they reach their full potential. </w:t>
      </w:r>
      <w:r w:rsidR="00A51CE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Using an infrastructure example, once a building is completed then tenants are likely to move in gradually so that it will only be when the building is </w:t>
      </w:r>
      <w:r w:rsidR="006B40F8">
        <w:rPr>
          <w:rFonts w:ascii="Arial Narrow" w:hAnsi="Arial Narrow"/>
          <w:sz w:val="24"/>
          <w:szCs w:val="24"/>
        </w:rPr>
        <w:t>full that the full economic bene</w:t>
      </w:r>
      <w:r>
        <w:rPr>
          <w:rFonts w:ascii="Arial Narrow" w:hAnsi="Arial Narrow"/>
          <w:sz w:val="24"/>
          <w:szCs w:val="24"/>
        </w:rPr>
        <w:t>fit of the intervention is realised;</w:t>
      </w:r>
    </w:p>
    <w:p w:rsidR="00F40B9E" w:rsidRDefault="00F40B9E" w:rsidP="007573D1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Once this peak is reached then how long will the benefits of the intervention persist? For example, if SE helps a company to develop a new product what is this product’s life cycle, that is the time that it can command a market before new products are introduced that displace it?; and</w:t>
      </w:r>
    </w:p>
    <w:p w:rsidR="00EB2C9A" w:rsidRDefault="00F40B9E" w:rsidP="007573D1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Over time various other factors change, for example economic conditions, market demands and changes in competitors. </w:t>
      </w:r>
      <w:r w:rsidR="00A51CE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The init</w:t>
      </w:r>
      <w:r w:rsidR="00B51F3F">
        <w:rPr>
          <w:rFonts w:ascii="Arial Narrow" w:hAnsi="Arial Narrow"/>
          <w:sz w:val="24"/>
          <w:szCs w:val="24"/>
        </w:rPr>
        <w:t xml:space="preserve">ial </w:t>
      </w:r>
      <w:r>
        <w:rPr>
          <w:rFonts w:ascii="Arial Narrow" w:hAnsi="Arial Narrow"/>
          <w:sz w:val="24"/>
          <w:szCs w:val="24"/>
        </w:rPr>
        <w:t>benefits will therefore start to decay over time in so f</w:t>
      </w:r>
      <w:r w:rsidR="00EB2C9A">
        <w:rPr>
          <w:rFonts w:ascii="Arial Narrow" w:hAnsi="Arial Narrow"/>
          <w:sz w:val="24"/>
          <w:szCs w:val="24"/>
        </w:rPr>
        <w:t>ar as the proportion of the bene</w:t>
      </w:r>
      <w:r>
        <w:rPr>
          <w:rFonts w:ascii="Arial Narrow" w:hAnsi="Arial Narrow"/>
          <w:sz w:val="24"/>
          <w:szCs w:val="24"/>
        </w:rPr>
        <w:t xml:space="preserve">fits that can be attributed to SE’s </w:t>
      </w:r>
      <w:r w:rsidR="00BD0766">
        <w:rPr>
          <w:rFonts w:ascii="Arial Narrow" w:hAnsi="Arial Narrow"/>
          <w:sz w:val="24"/>
          <w:szCs w:val="24"/>
        </w:rPr>
        <w:t xml:space="preserve">intervention </w:t>
      </w:r>
      <w:r w:rsidR="006B40F8">
        <w:rPr>
          <w:rFonts w:ascii="Arial Narrow" w:hAnsi="Arial Narrow"/>
          <w:sz w:val="24"/>
          <w:szCs w:val="24"/>
        </w:rPr>
        <w:t>will gradually decrease.</w:t>
      </w:r>
    </w:p>
    <w:p w:rsidR="00EB2C9A" w:rsidRDefault="00EB2C9A" w:rsidP="00EB2C9A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F40B9E" w:rsidRDefault="00EB2C9A" w:rsidP="00EB2C9A">
      <w:pPr>
        <w:pStyle w:val="ListParagraph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Thus </w:t>
      </w:r>
      <w:r w:rsidR="00EF41A8">
        <w:rPr>
          <w:rFonts w:ascii="Arial Narrow" w:hAnsi="Arial Narrow"/>
          <w:sz w:val="24"/>
          <w:szCs w:val="24"/>
        </w:rPr>
        <w:t xml:space="preserve">SE may support a company to develop a new product. </w:t>
      </w:r>
      <w:r w:rsidR="00A51CEE">
        <w:rPr>
          <w:rFonts w:ascii="Arial Narrow" w:hAnsi="Arial Narrow"/>
          <w:sz w:val="24"/>
          <w:szCs w:val="24"/>
        </w:rPr>
        <w:t xml:space="preserve"> </w:t>
      </w:r>
      <w:r w:rsidR="00EF41A8">
        <w:rPr>
          <w:rFonts w:ascii="Arial Narrow" w:hAnsi="Arial Narrow"/>
          <w:sz w:val="24"/>
          <w:szCs w:val="24"/>
        </w:rPr>
        <w:t xml:space="preserve">This may take a year to get to market. </w:t>
      </w:r>
      <w:r w:rsidR="00A51CEE">
        <w:rPr>
          <w:rFonts w:ascii="Arial Narrow" w:hAnsi="Arial Narrow"/>
          <w:sz w:val="24"/>
          <w:szCs w:val="24"/>
        </w:rPr>
        <w:t xml:space="preserve"> </w:t>
      </w:r>
      <w:r w:rsidR="00EF41A8">
        <w:rPr>
          <w:rFonts w:ascii="Arial Narrow" w:hAnsi="Arial Narrow"/>
          <w:sz w:val="24"/>
          <w:szCs w:val="24"/>
        </w:rPr>
        <w:t xml:space="preserve">Over this time money </w:t>
      </w:r>
      <w:r w:rsidR="00B51F3F">
        <w:rPr>
          <w:rFonts w:ascii="Arial Narrow" w:hAnsi="Arial Narrow"/>
          <w:sz w:val="24"/>
          <w:szCs w:val="24"/>
        </w:rPr>
        <w:t>is</w:t>
      </w:r>
      <w:r w:rsidR="00EF41A8">
        <w:rPr>
          <w:rFonts w:ascii="Arial Narrow" w:hAnsi="Arial Narrow"/>
          <w:sz w:val="24"/>
          <w:szCs w:val="24"/>
        </w:rPr>
        <w:t xml:space="preserve"> paid out but there are few benefits</w:t>
      </w:r>
      <w:r w:rsidR="00F2061D">
        <w:rPr>
          <w:rFonts w:ascii="Arial Narrow" w:hAnsi="Arial Narrow"/>
          <w:sz w:val="24"/>
          <w:szCs w:val="24"/>
        </w:rPr>
        <w:t xml:space="preserve"> in terms of the standard impact measures such as GVA</w:t>
      </w:r>
      <w:r w:rsidR="00EF41A8">
        <w:rPr>
          <w:rFonts w:ascii="Arial Narrow" w:hAnsi="Arial Narrow"/>
          <w:sz w:val="24"/>
          <w:szCs w:val="24"/>
        </w:rPr>
        <w:t xml:space="preserve">. </w:t>
      </w:r>
      <w:r w:rsidR="00A51CEE">
        <w:rPr>
          <w:rFonts w:ascii="Arial Narrow" w:hAnsi="Arial Narrow"/>
          <w:sz w:val="24"/>
          <w:szCs w:val="24"/>
        </w:rPr>
        <w:t xml:space="preserve"> </w:t>
      </w:r>
      <w:r w:rsidR="00EF41A8">
        <w:rPr>
          <w:rFonts w:ascii="Arial Narrow" w:hAnsi="Arial Narrow"/>
          <w:sz w:val="24"/>
          <w:szCs w:val="24"/>
        </w:rPr>
        <w:t xml:space="preserve">The product then gradually wins market </w:t>
      </w:r>
      <w:r w:rsidR="00BD0766">
        <w:rPr>
          <w:rFonts w:ascii="Arial Narrow" w:hAnsi="Arial Narrow"/>
          <w:sz w:val="24"/>
          <w:szCs w:val="24"/>
        </w:rPr>
        <w:t>share and after four</w:t>
      </w:r>
      <w:r w:rsidR="00B51F3F">
        <w:rPr>
          <w:rFonts w:ascii="Arial Narrow" w:hAnsi="Arial Narrow"/>
          <w:sz w:val="24"/>
          <w:szCs w:val="24"/>
        </w:rPr>
        <w:t xml:space="preserve"> years this reaches its maximum. </w:t>
      </w:r>
      <w:r w:rsidR="00A51CEE">
        <w:rPr>
          <w:rFonts w:ascii="Arial Narrow" w:hAnsi="Arial Narrow"/>
          <w:sz w:val="24"/>
          <w:szCs w:val="24"/>
        </w:rPr>
        <w:t xml:space="preserve"> </w:t>
      </w:r>
      <w:r w:rsidR="00B51F3F">
        <w:rPr>
          <w:rFonts w:ascii="Arial Narrow" w:hAnsi="Arial Narrow"/>
          <w:sz w:val="24"/>
          <w:szCs w:val="24"/>
        </w:rPr>
        <w:t>Over the intervening period the benefits of the intervention have gradually increased</w:t>
      </w:r>
      <w:r w:rsidR="00F2061D">
        <w:rPr>
          <w:rFonts w:ascii="Arial Narrow" w:hAnsi="Arial Narrow"/>
          <w:sz w:val="24"/>
          <w:szCs w:val="24"/>
        </w:rPr>
        <w:t xml:space="preserve">. </w:t>
      </w:r>
      <w:r w:rsidR="00A51CEE">
        <w:rPr>
          <w:rFonts w:ascii="Arial Narrow" w:hAnsi="Arial Narrow"/>
          <w:sz w:val="24"/>
          <w:szCs w:val="24"/>
        </w:rPr>
        <w:t xml:space="preserve"> </w:t>
      </w:r>
      <w:r w:rsidR="00F2061D">
        <w:rPr>
          <w:rFonts w:ascii="Arial Narrow" w:hAnsi="Arial Narrow"/>
          <w:sz w:val="24"/>
          <w:szCs w:val="24"/>
        </w:rPr>
        <w:t xml:space="preserve">The life cycle of the product has been assessed as being ten years in total. </w:t>
      </w:r>
      <w:r w:rsidR="00A51CEE">
        <w:rPr>
          <w:rFonts w:ascii="Arial Narrow" w:hAnsi="Arial Narrow"/>
          <w:sz w:val="24"/>
          <w:szCs w:val="24"/>
        </w:rPr>
        <w:t xml:space="preserve"> </w:t>
      </w:r>
      <w:r w:rsidR="00F2061D">
        <w:rPr>
          <w:rFonts w:ascii="Arial Narrow" w:hAnsi="Arial Narrow"/>
          <w:sz w:val="24"/>
          <w:szCs w:val="24"/>
        </w:rPr>
        <w:t xml:space="preserve">However, after the five year peak there is a gradual decline in sales (and attributed benefits) that has been forecast (based on experience of other product life cycles) to be 20% a year. </w:t>
      </w:r>
      <w:r w:rsidR="00A51CEE">
        <w:rPr>
          <w:rFonts w:ascii="Arial Narrow" w:hAnsi="Arial Narrow"/>
          <w:sz w:val="24"/>
          <w:szCs w:val="24"/>
        </w:rPr>
        <w:t xml:space="preserve"> </w:t>
      </w:r>
      <w:r w:rsidR="00F2061D">
        <w:rPr>
          <w:rFonts w:ascii="Arial Narrow" w:hAnsi="Arial Narrow"/>
          <w:sz w:val="24"/>
          <w:szCs w:val="24"/>
        </w:rPr>
        <w:t xml:space="preserve">At the end of this time (ten years after </w:t>
      </w:r>
      <w:r w:rsidR="00BD0766">
        <w:rPr>
          <w:rFonts w:ascii="Arial Narrow" w:hAnsi="Arial Narrow"/>
          <w:sz w:val="24"/>
          <w:szCs w:val="24"/>
        </w:rPr>
        <w:t>SE began to support the company</w:t>
      </w:r>
      <w:r w:rsidR="00F2061D">
        <w:rPr>
          <w:rFonts w:ascii="Arial Narrow" w:hAnsi="Arial Narrow"/>
          <w:sz w:val="24"/>
          <w:szCs w:val="24"/>
        </w:rPr>
        <w:t xml:space="preserve">) the benefits as a consequence of SE’s interventions are negligible. </w:t>
      </w:r>
      <w:r w:rsidR="00A51CEE">
        <w:rPr>
          <w:rFonts w:ascii="Arial Narrow" w:hAnsi="Arial Narrow"/>
          <w:sz w:val="24"/>
          <w:szCs w:val="24"/>
        </w:rPr>
        <w:t xml:space="preserve"> </w:t>
      </w:r>
      <w:r w:rsidR="00F2061D">
        <w:rPr>
          <w:rFonts w:ascii="Arial Narrow" w:hAnsi="Arial Narrow"/>
          <w:sz w:val="24"/>
          <w:szCs w:val="24"/>
        </w:rPr>
        <w:t>Thus the profile of costs and</w:t>
      </w:r>
      <w:r w:rsidR="00BD0766">
        <w:rPr>
          <w:rFonts w:ascii="Arial Narrow" w:hAnsi="Arial Narrow"/>
          <w:sz w:val="24"/>
          <w:szCs w:val="24"/>
        </w:rPr>
        <w:t xml:space="preserve"> benefits lasts for a total of ten</w:t>
      </w:r>
      <w:r w:rsidR="00F2061D">
        <w:rPr>
          <w:rFonts w:ascii="Arial Narrow" w:hAnsi="Arial Narrow"/>
          <w:sz w:val="24"/>
          <w:szCs w:val="24"/>
        </w:rPr>
        <w:t xml:space="preserve"> years:-</w:t>
      </w:r>
    </w:p>
    <w:p w:rsidR="00F2061D" w:rsidRDefault="00F2061D" w:rsidP="00EB2C9A">
      <w:pPr>
        <w:pStyle w:val="ListParagraph"/>
        <w:ind w:left="0"/>
        <w:jc w:val="both"/>
        <w:rPr>
          <w:rFonts w:ascii="Arial Narrow" w:hAnsi="Arial Narrow"/>
          <w:sz w:val="24"/>
          <w:szCs w:val="24"/>
        </w:rPr>
      </w:pPr>
    </w:p>
    <w:p w:rsidR="00F2061D" w:rsidRDefault="00F2061D" w:rsidP="00F2061D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One year when there are few benefits as the product is being developed;</w:t>
      </w:r>
    </w:p>
    <w:p w:rsidR="00F2061D" w:rsidRDefault="00F2061D" w:rsidP="00F2061D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further </w:t>
      </w:r>
      <w:r w:rsidR="00BD0766">
        <w:rPr>
          <w:rFonts w:ascii="Arial Narrow" w:hAnsi="Arial Narrow"/>
          <w:sz w:val="24"/>
          <w:szCs w:val="24"/>
        </w:rPr>
        <w:t>four</w:t>
      </w:r>
      <w:r>
        <w:rPr>
          <w:rFonts w:ascii="Arial Narrow" w:hAnsi="Arial Narrow"/>
          <w:sz w:val="24"/>
          <w:szCs w:val="24"/>
        </w:rPr>
        <w:t xml:space="preserve"> years over which time the product increases market share and produces benefits, which peak at the end of this period (year </w:t>
      </w:r>
      <w:r w:rsidR="00BD0766">
        <w:rPr>
          <w:rFonts w:ascii="Arial Narrow" w:hAnsi="Arial Narrow"/>
          <w:sz w:val="24"/>
          <w:szCs w:val="24"/>
        </w:rPr>
        <w:t>five</w:t>
      </w:r>
      <w:r>
        <w:rPr>
          <w:rFonts w:ascii="Arial Narrow" w:hAnsi="Arial Narrow"/>
          <w:sz w:val="24"/>
          <w:szCs w:val="24"/>
        </w:rPr>
        <w:t>); and</w:t>
      </w:r>
    </w:p>
    <w:p w:rsidR="00F2061D" w:rsidRDefault="00F2061D" w:rsidP="00F2061D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further five years over which</w:t>
      </w:r>
      <w:r w:rsidR="00CD6B0D">
        <w:rPr>
          <w:rFonts w:ascii="Arial Narrow" w:hAnsi="Arial Narrow"/>
          <w:sz w:val="24"/>
          <w:szCs w:val="24"/>
        </w:rPr>
        <w:t xml:space="preserve"> time</w:t>
      </w:r>
      <w:r>
        <w:rPr>
          <w:rFonts w:ascii="Arial Narrow" w:hAnsi="Arial Narrow"/>
          <w:sz w:val="24"/>
          <w:szCs w:val="24"/>
        </w:rPr>
        <w:t xml:space="preserve"> the produ</w:t>
      </w:r>
      <w:r w:rsidR="00CD6B0D">
        <w:rPr>
          <w:rFonts w:ascii="Arial Narrow" w:hAnsi="Arial Narrow"/>
          <w:sz w:val="24"/>
          <w:szCs w:val="24"/>
        </w:rPr>
        <w:t xml:space="preserve">ct gradually loses market share (and economic benefits decrease). </w:t>
      </w:r>
      <w:r w:rsidR="00834989">
        <w:rPr>
          <w:rFonts w:ascii="Arial Narrow" w:hAnsi="Arial Narrow"/>
          <w:sz w:val="24"/>
          <w:szCs w:val="24"/>
        </w:rPr>
        <w:t xml:space="preserve"> </w:t>
      </w:r>
      <w:r w:rsidR="00CD6B0D">
        <w:rPr>
          <w:rFonts w:ascii="Arial Narrow" w:hAnsi="Arial Narrow"/>
          <w:sz w:val="24"/>
          <w:szCs w:val="24"/>
        </w:rPr>
        <w:t>A</w:t>
      </w:r>
      <w:r w:rsidR="00BD0766">
        <w:rPr>
          <w:rFonts w:ascii="Arial Narrow" w:hAnsi="Arial Narrow"/>
          <w:sz w:val="24"/>
          <w:szCs w:val="24"/>
        </w:rPr>
        <w:t>t the end of this period (year ten</w:t>
      </w:r>
      <w:r w:rsidR="00CD6B0D">
        <w:rPr>
          <w:rFonts w:ascii="Arial Narrow" w:hAnsi="Arial Narrow"/>
          <w:sz w:val="24"/>
          <w:szCs w:val="24"/>
        </w:rPr>
        <w:t>) there are no more impacts as a consequence of the intervention and the product is no longer sold, having been superceded by alternatives.</w:t>
      </w:r>
    </w:p>
    <w:p w:rsidR="00C268D2" w:rsidRDefault="000060EB" w:rsidP="00C527E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Interventions that involve helping companies to introduce new products may be relatively easy to profile in terms of the trajectory of impacts i</w:t>
      </w:r>
      <w:r w:rsidR="00C268D2">
        <w:rPr>
          <w:rFonts w:ascii="Arial Narrow" w:hAnsi="Arial Narrow"/>
          <w:sz w:val="24"/>
          <w:szCs w:val="24"/>
        </w:rPr>
        <w:t>n that marketing literature may be able to provide useful indicators of probabl</w:t>
      </w:r>
      <w:r w:rsidR="00BD0766">
        <w:rPr>
          <w:rFonts w:ascii="Arial Narrow" w:hAnsi="Arial Narrow"/>
          <w:sz w:val="24"/>
          <w:szCs w:val="24"/>
        </w:rPr>
        <w:t>e</w:t>
      </w:r>
      <w:r w:rsidR="00C268D2">
        <w:rPr>
          <w:rFonts w:ascii="Arial Narrow" w:hAnsi="Arial Narrow"/>
          <w:sz w:val="24"/>
          <w:szCs w:val="24"/>
        </w:rPr>
        <w:t xml:space="preserve"> life cycles. </w:t>
      </w:r>
      <w:r w:rsidR="00834989">
        <w:rPr>
          <w:rFonts w:ascii="Arial Narrow" w:hAnsi="Arial Narrow"/>
          <w:sz w:val="24"/>
          <w:szCs w:val="24"/>
        </w:rPr>
        <w:t xml:space="preserve"> </w:t>
      </w:r>
      <w:r w:rsidR="00C268D2">
        <w:rPr>
          <w:rFonts w:ascii="Arial Narrow" w:hAnsi="Arial Narrow"/>
          <w:sz w:val="24"/>
          <w:szCs w:val="24"/>
        </w:rPr>
        <w:t xml:space="preserve">For example, it is said that technology based products will have a shorter life cycle than more traditional ones. </w:t>
      </w:r>
      <w:r w:rsidR="00834989">
        <w:rPr>
          <w:rFonts w:ascii="Arial Narrow" w:hAnsi="Arial Narrow"/>
          <w:sz w:val="24"/>
          <w:szCs w:val="24"/>
        </w:rPr>
        <w:t xml:space="preserve"> </w:t>
      </w:r>
      <w:r w:rsidR="00C268D2">
        <w:rPr>
          <w:rFonts w:ascii="Arial Narrow" w:hAnsi="Arial Narrow"/>
          <w:sz w:val="24"/>
          <w:szCs w:val="24"/>
        </w:rPr>
        <w:t>Thus:-</w:t>
      </w:r>
    </w:p>
    <w:p w:rsidR="00C268D2" w:rsidRPr="00C268D2" w:rsidRDefault="00C268D2" w:rsidP="00C268D2">
      <w:pPr>
        <w:pStyle w:val="ListParagraph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C268D2">
        <w:rPr>
          <w:rFonts w:ascii="Arial Narrow" w:hAnsi="Arial Narrow"/>
          <w:sz w:val="24"/>
          <w:szCs w:val="24"/>
        </w:rPr>
        <w:t xml:space="preserve">Computer consoles have </w:t>
      </w:r>
      <w:r>
        <w:rPr>
          <w:rFonts w:ascii="Arial Narrow" w:hAnsi="Arial Narrow"/>
          <w:sz w:val="24"/>
          <w:szCs w:val="24"/>
        </w:rPr>
        <w:t>a life of six to eight years wh</w:t>
      </w:r>
      <w:r w:rsidRPr="00C268D2">
        <w:rPr>
          <w:rFonts w:ascii="Arial Narrow" w:hAnsi="Arial Narrow"/>
          <w:sz w:val="24"/>
          <w:szCs w:val="24"/>
        </w:rPr>
        <w:t>ich is now being for</w:t>
      </w:r>
      <w:r w:rsidR="00BD0766">
        <w:rPr>
          <w:rFonts w:ascii="Arial Narrow" w:hAnsi="Arial Narrow"/>
          <w:sz w:val="24"/>
          <w:szCs w:val="24"/>
        </w:rPr>
        <w:t>e</w:t>
      </w:r>
      <w:r w:rsidRPr="00C268D2">
        <w:rPr>
          <w:rFonts w:ascii="Arial Narrow" w:hAnsi="Arial Narrow"/>
          <w:sz w:val="24"/>
          <w:szCs w:val="24"/>
        </w:rPr>
        <w:t>cast to fall to five to six</w:t>
      </w:r>
      <w:r>
        <w:rPr>
          <w:rStyle w:val="FootnoteReference"/>
          <w:rFonts w:ascii="Arial Narrow" w:hAnsi="Arial Narrow"/>
          <w:sz w:val="24"/>
          <w:szCs w:val="24"/>
        </w:rPr>
        <w:footnoteReference w:id="4"/>
      </w:r>
      <w:r>
        <w:rPr>
          <w:rFonts w:ascii="Arial Narrow" w:hAnsi="Arial Narrow"/>
          <w:sz w:val="24"/>
          <w:szCs w:val="24"/>
        </w:rPr>
        <w:t>; and</w:t>
      </w:r>
    </w:p>
    <w:p w:rsidR="00C527EC" w:rsidRDefault="00C268D2" w:rsidP="00C527EC">
      <w:pPr>
        <w:pStyle w:val="ListParagraph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Whilst a </w:t>
      </w:r>
      <w:r w:rsidR="00C527EC" w:rsidRPr="00C268D2">
        <w:rPr>
          <w:rFonts w:ascii="Arial Narrow" w:hAnsi="Arial Narrow"/>
          <w:sz w:val="24"/>
          <w:szCs w:val="24"/>
        </w:rPr>
        <w:t>video game can take two to four years to develop</w:t>
      </w:r>
      <w:r w:rsidR="00BD0766">
        <w:rPr>
          <w:rFonts w:ascii="Arial Narrow" w:hAnsi="Arial Narrow"/>
          <w:sz w:val="24"/>
          <w:szCs w:val="24"/>
        </w:rPr>
        <w:t>,</w:t>
      </w:r>
      <w:r w:rsidR="00C527EC" w:rsidRPr="00C268D2">
        <w:rPr>
          <w:rFonts w:ascii="Arial Narrow" w:hAnsi="Arial Narrow"/>
          <w:sz w:val="24"/>
          <w:szCs w:val="24"/>
        </w:rPr>
        <w:t xml:space="preserve"> once in the market </w:t>
      </w:r>
      <w:r w:rsidR="00FB0BCB">
        <w:rPr>
          <w:rFonts w:ascii="Arial Narrow" w:hAnsi="Arial Narrow"/>
          <w:sz w:val="24"/>
          <w:szCs w:val="24"/>
        </w:rPr>
        <w:t xml:space="preserve">it can </w:t>
      </w:r>
      <w:r w:rsidR="00C527EC" w:rsidRPr="00C268D2">
        <w:rPr>
          <w:rFonts w:ascii="Arial Narrow" w:hAnsi="Arial Narrow"/>
          <w:sz w:val="24"/>
          <w:szCs w:val="24"/>
        </w:rPr>
        <w:t xml:space="preserve">have a life as short </w:t>
      </w:r>
      <w:r w:rsidR="00BD0766">
        <w:rPr>
          <w:rFonts w:ascii="Arial Narrow" w:hAnsi="Arial Narrow"/>
          <w:sz w:val="24"/>
          <w:szCs w:val="24"/>
        </w:rPr>
        <w:t>as</w:t>
      </w:r>
      <w:r w:rsidR="00C527EC" w:rsidRPr="00C268D2">
        <w:rPr>
          <w:rFonts w:ascii="Arial Narrow" w:hAnsi="Arial Narrow"/>
          <w:sz w:val="24"/>
          <w:szCs w:val="24"/>
        </w:rPr>
        <w:t xml:space="preserve"> six months.</w:t>
      </w:r>
      <w:r w:rsidR="00C527EC">
        <w:rPr>
          <w:rStyle w:val="FootnoteReference"/>
          <w:rFonts w:ascii="Arial Narrow" w:hAnsi="Arial Narrow"/>
          <w:sz w:val="24"/>
          <w:szCs w:val="24"/>
        </w:rPr>
        <w:footnoteReference w:id="5"/>
      </w:r>
      <w:r w:rsidR="00363D1F" w:rsidRPr="00C268D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C268D2" w:rsidRPr="00C268D2" w:rsidRDefault="00C268D2" w:rsidP="00C268D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It may be far more difficult to assess the life span of interventions that are not directly product focussed.</w:t>
      </w:r>
    </w:p>
    <w:p w:rsidR="00C268D2" w:rsidRDefault="003D4B17" w:rsidP="00C268D2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The P</w:t>
      </w:r>
      <w:r w:rsidRPr="009612F0">
        <w:rPr>
          <w:rFonts w:ascii="Arial Narrow" w:hAnsi="Arial Narrow"/>
          <w:b/>
          <w:sz w:val="28"/>
          <w:szCs w:val="28"/>
        </w:rPr>
        <w:t>rocess</w:t>
      </w:r>
    </w:p>
    <w:p w:rsidR="003D4B17" w:rsidRDefault="005153D7" w:rsidP="00C268D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When evaluations are undertaken, and the net impacts identified are based on those attained to date, it can be assumed that they include the four stages identified above.</w:t>
      </w:r>
      <w:r w:rsidR="0053579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The problems arise when, in either </w:t>
      </w:r>
      <w:r>
        <w:rPr>
          <w:rFonts w:ascii="Arial Narrow" w:hAnsi="Arial Narrow"/>
          <w:sz w:val="24"/>
          <w:szCs w:val="24"/>
        </w:rPr>
        <w:lastRenderedPageBreak/>
        <w:t xml:space="preserve">an evaluation or an appraisal, the impacts are forecast into the future. </w:t>
      </w:r>
      <w:r w:rsidR="0053579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There is then a need to factor in these stages. </w:t>
      </w:r>
      <w:r w:rsidR="0053579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However, the evidence base on which to do this is limited. </w:t>
      </w:r>
      <w:r w:rsidR="0053579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some of SE’s recent evaluations questions have been asked about the likely persistence of the impacts consequent upon SE’s interventions. </w:t>
      </w:r>
      <w:r w:rsidR="0053579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 example:-</w:t>
      </w:r>
    </w:p>
    <w:p w:rsidR="005153D7" w:rsidRDefault="005153D7" w:rsidP="005153D7">
      <w:pPr>
        <w:pStyle w:val="ListParagraph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2013 evaluation of account management activity</w:t>
      </w:r>
      <w:r>
        <w:rPr>
          <w:rStyle w:val="FootnoteReference"/>
          <w:rFonts w:ascii="Arial Narrow" w:hAnsi="Arial Narrow"/>
          <w:sz w:val="24"/>
          <w:szCs w:val="24"/>
        </w:rPr>
        <w:footnoteReference w:id="6"/>
      </w:r>
      <w:r>
        <w:rPr>
          <w:rFonts w:ascii="Arial Narrow" w:hAnsi="Arial Narrow"/>
          <w:sz w:val="24"/>
          <w:szCs w:val="24"/>
        </w:rPr>
        <w:t xml:space="preserve"> asked co</w:t>
      </w:r>
      <w:r w:rsidR="00567ADE">
        <w:rPr>
          <w:rFonts w:ascii="Arial Narrow" w:hAnsi="Arial Narrow"/>
          <w:sz w:val="24"/>
          <w:szCs w:val="24"/>
        </w:rPr>
        <w:t>m</w:t>
      </w:r>
      <w:r>
        <w:rPr>
          <w:rFonts w:ascii="Arial Narrow" w:hAnsi="Arial Narrow"/>
          <w:sz w:val="24"/>
          <w:szCs w:val="24"/>
        </w:rPr>
        <w:t>pani</w:t>
      </w:r>
      <w:r w:rsidR="00567ADE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s how lo</w:t>
      </w:r>
      <w:r w:rsidR="00567ADE">
        <w:rPr>
          <w:rFonts w:ascii="Arial Narrow" w:hAnsi="Arial Narrow"/>
          <w:sz w:val="24"/>
          <w:szCs w:val="24"/>
        </w:rPr>
        <w:t>ng they expected the benef</w:t>
      </w:r>
      <w:r>
        <w:rPr>
          <w:rFonts w:ascii="Arial Narrow" w:hAnsi="Arial Narrow"/>
          <w:sz w:val="24"/>
          <w:szCs w:val="24"/>
        </w:rPr>
        <w:t>its of SE’s s</w:t>
      </w:r>
      <w:r w:rsidR="00567ADE">
        <w:rPr>
          <w:rFonts w:ascii="Arial Narrow" w:hAnsi="Arial Narrow"/>
          <w:sz w:val="24"/>
          <w:szCs w:val="24"/>
        </w:rPr>
        <w:t>upport to la</w:t>
      </w:r>
      <w:r>
        <w:rPr>
          <w:rFonts w:ascii="Arial Narrow" w:hAnsi="Arial Narrow"/>
          <w:sz w:val="24"/>
          <w:szCs w:val="24"/>
        </w:rPr>
        <w:t xml:space="preserve">st. </w:t>
      </w:r>
      <w:r w:rsidR="0053579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Half said five years or longer</w:t>
      </w:r>
      <w:r w:rsidR="00567ADE">
        <w:rPr>
          <w:rFonts w:ascii="Arial Narrow" w:hAnsi="Arial Narrow"/>
          <w:sz w:val="24"/>
          <w:szCs w:val="24"/>
        </w:rPr>
        <w:t xml:space="preserve">. </w:t>
      </w:r>
      <w:r w:rsidR="0053579D">
        <w:rPr>
          <w:rFonts w:ascii="Arial Narrow" w:hAnsi="Arial Narrow"/>
          <w:sz w:val="24"/>
          <w:szCs w:val="24"/>
        </w:rPr>
        <w:t xml:space="preserve"> </w:t>
      </w:r>
      <w:r w:rsidR="00567ADE">
        <w:rPr>
          <w:rFonts w:ascii="Arial Narrow" w:hAnsi="Arial Narrow"/>
          <w:sz w:val="24"/>
          <w:szCs w:val="24"/>
        </w:rPr>
        <w:t>However, the question was a general one, not specifically rela</w:t>
      </w:r>
      <w:r w:rsidR="00BD0766">
        <w:rPr>
          <w:rFonts w:ascii="Arial Narrow" w:hAnsi="Arial Narrow"/>
          <w:sz w:val="24"/>
          <w:szCs w:val="24"/>
        </w:rPr>
        <w:t>ted</w:t>
      </w:r>
      <w:r w:rsidR="00567ADE">
        <w:rPr>
          <w:rFonts w:ascii="Arial Narrow" w:hAnsi="Arial Narrow"/>
          <w:sz w:val="24"/>
          <w:szCs w:val="24"/>
        </w:rPr>
        <w:t xml:space="preserve"> to GVA or employment, nor was it factored into the impact calculations; and</w:t>
      </w:r>
    </w:p>
    <w:p w:rsidR="00567ADE" w:rsidRPr="005153D7" w:rsidRDefault="00567ADE" w:rsidP="005153D7">
      <w:pPr>
        <w:pStyle w:val="ListParagraph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2011 evaluation of the Scottish Construction Centre </w:t>
      </w:r>
      <w:r>
        <w:rPr>
          <w:rStyle w:val="FootnoteReference"/>
          <w:rFonts w:ascii="Arial Narrow" w:hAnsi="Arial Narrow"/>
          <w:sz w:val="24"/>
          <w:szCs w:val="24"/>
        </w:rPr>
        <w:footnoteReference w:id="7"/>
      </w:r>
      <w:r w:rsidR="00BD076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did apply a persistence adjustment to the impacts. </w:t>
      </w:r>
      <w:r w:rsidR="002578E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However, although a specific question had been asked about this in the eva</w:t>
      </w:r>
      <w:r w:rsidR="00BD0766">
        <w:rPr>
          <w:rFonts w:ascii="Arial Narrow" w:hAnsi="Arial Narrow"/>
          <w:sz w:val="24"/>
          <w:szCs w:val="24"/>
        </w:rPr>
        <w:t>luation (with 20% of respondents</w:t>
      </w:r>
      <w:r>
        <w:rPr>
          <w:rFonts w:ascii="Arial Narrow" w:hAnsi="Arial Narrow"/>
          <w:sz w:val="24"/>
          <w:szCs w:val="24"/>
        </w:rPr>
        <w:t xml:space="preserve"> saying that impacts would last four years or more) the adjustment made was based on the RDA evaluation evidence</w:t>
      </w:r>
      <w:r w:rsidR="00B36ABF">
        <w:rPr>
          <w:rStyle w:val="FootnoteReference"/>
          <w:rFonts w:ascii="Arial Narrow" w:hAnsi="Arial Narrow"/>
          <w:sz w:val="24"/>
          <w:szCs w:val="24"/>
        </w:rPr>
        <w:footnoteReference w:id="8"/>
      </w:r>
      <w:r>
        <w:rPr>
          <w:rFonts w:ascii="Arial Narrow" w:hAnsi="Arial Narrow"/>
          <w:sz w:val="24"/>
          <w:szCs w:val="24"/>
        </w:rPr>
        <w:t>, this being 2.9 years.</w:t>
      </w:r>
      <w:r w:rsidR="00B36ABF">
        <w:rPr>
          <w:rFonts w:ascii="Arial Narrow" w:hAnsi="Arial Narrow"/>
          <w:sz w:val="24"/>
          <w:szCs w:val="24"/>
        </w:rPr>
        <w:t xml:space="preserve"> </w:t>
      </w:r>
      <w:r w:rsidR="002578E8">
        <w:rPr>
          <w:rFonts w:ascii="Arial Narrow" w:hAnsi="Arial Narrow"/>
          <w:sz w:val="24"/>
          <w:szCs w:val="24"/>
        </w:rPr>
        <w:t xml:space="preserve"> </w:t>
      </w:r>
      <w:r w:rsidR="00B36ABF">
        <w:rPr>
          <w:rFonts w:ascii="Arial Narrow" w:hAnsi="Arial Narrow"/>
          <w:sz w:val="24"/>
          <w:szCs w:val="24"/>
        </w:rPr>
        <w:t xml:space="preserve">The justification for this was to </w:t>
      </w:r>
      <w:r w:rsidR="00B36ABF" w:rsidRPr="00B36ABF">
        <w:rPr>
          <w:rFonts w:ascii="Arial Narrow" w:hAnsi="Arial Narrow"/>
          <w:i/>
          <w:sz w:val="24"/>
          <w:szCs w:val="24"/>
        </w:rPr>
        <w:t>“guard against optimism bias”.</w:t>
      </w:r>
    </w:p>
    <w:p w:rsidR="003D4B17" w:rsidRDefault="00B36ABF" w:rsidP="003D4B1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Given the paucity of evidence then the approach suggested is three fold:-</w:t>
      </w:r>
    </w:p>
    <w:p w:rsidR="00B36ABF" w:rsidRDefault="00B36ABF" w:rsidP="00B36ABF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If there is evidence, for such things as specific product life cycles, then this should be used and clearly sourced;</w:t>
      </w:r>
    </w:p>
    <w:p w:rsidR="00B36ABF" w:rsidRDefault="00B36ABF" w:rsidP="00B36ABF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the absence of any such evidence then consideration should be given to using the adjustments that were made as part of the RDA</w:t>
      </w:r>
      <w:r w:rsidR="00BD0766">
        <w:rPr>
          <w:rFonts w:ascii="Arial Narrow" w:hAnsi="Arial Narrow"/>
          <w:sz w:val="24"/>
          <w:szCs w:val="24"/>
        </w:rPr>
        <w:t>s’</w:t>
      </w:r>
      <w:r>
        <w:rPr>
          <w:rFonts w:ascii="Arial Narrow" w:hAnsi="Arial Narrow"/>
          <w:sz w:val="24"/>
          <w:szCs w:val="24"/>
        </w:rPr>
        <w:t xml:space="preserve"> evaluation.</w:t>
      </w:r>
      <w:r w:rsidR="002578E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These are summarised in Appendix 1. </w:t>
      </w:r>
      <w:r w:rsidR="002578E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However, these </w:t>
      </w:r>
      <w:r w:rsidR="00BD0766">
        <w:rPr>
          <w:rFonts w:ascii="Arial Narrow" w:hAnsi="Arial Narrow"/>
          <w:sz w:val="24"/>
          <w:szCs w:val="24"/>
        </w:rPr>
        <w:t>need to be caveated in that the</w:t>
      </w:r>
      <w:r>
        <w:rPr>
          <w:rFonts w:ascii="Arial Narrow" w:hAnsi="Arial Narrow"/>
          <w:sz w:val="24"/>
          <w:szCs w:val="24"/>
        </w:rPr>
        <w:t xml:space="preserve"> data on which the report was based is now quite old</w:t>
      </w:r>
      <w:r>
        <w:rPr>
          <w:rStyle w:val="FootnoteReference"/>
          <w:rFonts w:ascii="Arial Narrow" w:hAnsi="Arial Narrow"/>
          <w:sz w:val="24"/>
          <w:szCs w:val="24"/>
        </w:rPr>
        <w:footnoteReference w:id="9"/>
      </w:r>
      <w:r>
        <w:rPr>
          <w:rFonts w:ascii="Arial Narrow" w:hAnsi="Arial Narrow"/>
          <w:sz w:val="24"/>
          <w:szCs w:val="24"/>
        </w:rPr>
        <w:t xml:space="preserve">. </w:t>
      </w:r>
      <w:r w:rsidR="002578E8">
        <w:rPr>
          <w:rFonts w:ascii="Arial Narrow" w:hAnsi="Arial Narrow"/>
          <w:sz w:val="24"/>
          <w:szCs w:val="24"/>
        </w:rPr>
        <w:t xml:space="preserve"> </w:t>
      </w:r>
      <w:r w:rsidR="00672427">
        <w:rPr>
          <w:rFonts w:ascii="Arial Narrow" w:hAnsi="Arial Narrow"/>
          <w:sz w:val="24"/>
          <w:szCs w:val="24"/>
        </w:rPr>
        <w:t xml:space="preserve">It is also the case that few of the evaluations on which the report </w:t>
      </w:r>
      <w:r w:rsidR="00BD0766">
        <w:rPr>
          <w:rFonts w:ascii="Arial Narrow" w:hAnsi="Arial Narrow"/>
          <w:sz w:val="24"/>
          <w:szCs w:val="24"/>
        </w:rPr>
        <w:t>drew had actually tried to esti</w:t>
      </w:r>
      <w:r w:rsidR="00672427">
        <w:rPr>
          <w:rFonts w:ascii="Arial Narrow" w:hAnsi="Arial Narrow"/>
          <w:sz w:val="24"/>
          <w:szCs w:val="24"/>
        </w:rPr>
        <w:t xml:space="preserve">mate such things as decay or persistence. </w:t>
      </w:r>
      <w:r w:rsidR="002578E8">
        <w:rPr>
          <w:rFonts w:ascii="Arial Narrow" w:hAnsi="Arial Narrow"/>
          <w:sz w:val="24"/>
          <w:szCs w:val="24"/>
        </w:rPr>
        <w:t xml:space="preserve"> </w:t>
      </w:r>
      <w:r w:rsidR="00672427">
        <w:rPr>
          <w:rFonts w:ascii="Arial Narrow" w:hAnsi="Arial Narrow"/>
          <w:sz w:val="24"/>
          <w:szCs w:val="24"/>
        </w:rPr>
        <w:t>Accordingly the consultants developed their own assumptions</w:t>
      </w:r>
      <w:r w:rsidR="00672427">
        <w:rPr>
          <w:rStyle w:val="FootnoteReference"/>
          <w:rFonts w:ascii="Arial Narrow" w:hAnsi="Arial Narrow"/>
          <w:sz w:val="24"/>
          <w:szCs w:val="24"/>
        </w:rPr>
        <w:footnoteReference w:id="10"/>
      </w:r>
      <w:r w:rsidR="00672427">
        <w:rPr>
          <w:rFonts w:ascii="Arial Narrow" w:hAnsi="Arial Narrow"/>
          <w:sz w:val="24"/>
          <w:szCs w:val="24"/>
        </w:rPr>
        <w:t>; and</w:t>
      </w:r>
    </w:p>
    <w:p w:rsidR="00672427" w:rsidRPr="00B36ABF" w:rsidRDefault="00672427" w:rsidP="00B36ABF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Regardless of what is done (or not done) this needs to be clearly explained and any assumptions outlined.</w:t>
      </w:r>
    </w:p>
    <w:p w:rsidR="003D4B17" w:rsidRPr="00720251" w:rsidRDefault="003D4B17" w:rsidP="003D4B17">
      <w:pPr>
        <w:jc w:val="both"/>
        <w:rPr>
          <w:rFonts w:ascii="Arial Narrow" w:hAnsi="Arial Narrow"/>
          <w:b/>
          <w:sz w:val="28"/>
          <w:szCs w:val="28"/>
        </w:rPr>
      </w:pPr>
      <w:r w:rsidRPr="00720251">
        <w:rPr>
          <w:rFonts w:ascii="Arial Narrow" w:hAnsi="Arial Narrow"/>
          <w:b/>
          <w:sz w:val="28"/>
          <w:szCs w:val="28"/>
        </w:rPr>
        <w:t>Need more help?</w:t>
      </w:r>
    </w:p>
    <w:p w:rsidR="003D4B17" w:rsidRPr="00CE02B8" w:rsidRDefault="003D4B17" w:rsidP="003D4B17">
      <w:pPr>
        <w:jc w:val="both"/>
        <w:rPr>
          <w:rFonts w:ascii="Arial Narrow" w:hAnsi="Arial Narrow"/>
          <w:sz w:val="24"/>
          <w:szCs w:val="24"/>
        </w:rPr>
      </w:pPr>
      <w:r w:rsidRPr="00CE02B8">
        <w:rPr>
          <w:rFonts w:ascii="Arial Narrow" w:hAnsi="Arial Narrow"/>
          <w:sz w:val="24"/>
          <w:szCs w:val="24"/>
        </w:rPr>
        <w:t>For further information contact:-</w:t>
      </w:r>
    </w:p>
    <w:p w:rsidR="003D4B17" w:rsidRPr="00CE02B8" w:rsidRDefault="003D4B17" w:rsidP="003D4B17">
      <w:pPr>
        <w:jc w:val="both"/>
        <w:rPr>
          <w:rFonts w:ascii="Arial Narrow" w:hAnsi="Arial Narrow"/>
          <w:sz w:val="24"/>
          <w:szCs w:val="24"/>
        </w:rPr>
      </w:pPr>
      <w:r w:rsidRPr="00CE02B8">
        <w:rPr>
          <w:rFonts w:ascii="Arial Narrow" w:hAnsi="Arial Narrow"/>
          <w:sz w:val="24"/>
          <w:szCs w:val="24"/>
        </w:rPr>
        <w:t>Suzanne Fleming, 0141-228-2062</w:t>
      </w:r>
    </w:p>
    <w:p w:rsidR="003D4B17" w:rsidRDefault="00E53336" w:rsidP="003D4B17">
      <w:pPr>
        <w:jc w:val="both"/>
        <w:rPr>
          <w:rFonts w:ascii="Arial Narrow" w:hAnsi="Arial Narrow"/>
          <w:sz w:val="24"/>
          <w:szCs w:val="24"/>
        </w:rPr>
      </w:pPr>
      <w:hyperlink r:id="rId8" w:history="1">
        <w:r w:rsidR="003D4B17" w:rsidRPr="00CE02B8">
          <w:rPr>
            <w:rStyle w:val="Hyperlink"/>
            <w:rFonts w:ascii="Arial Narrow" w:hAnsi="Arial Narrow"/>
            <w:sz w:val="24"/>
            <w:szCs w:val="24"/>
          </w:rPr>
          <w:t>Suzanne.fleming@scotent.co.uk</w:t>
        </w:r>
      </w:hyperlink>
      <w:r w:rsidR="003D4B17">
        <w:rPr>
          <w:rFonts w:ascii="Arial Narrow" w:hAnsi="Arial Narrow"/>
          <w:sz w:val="24"/>
          <w:szCs w:val="24"/>
        </w:rPr>
        <w:t xml:space="preserve"> </w:t>
      </w:r>
    </w:p>
    <w:p w:rsidR="003D4B17" w:rsidRDefault="003D4B17" w:rsidP="003D4B17">
      <w:pPr>
        <w:jc w:val="center"/>
        <w:rPr>
          <w:rFonts w:ascii="Arial Narrow" w:hAnsi="Arial Narrow"/>
          <w:b/>
          <w:sz w:val="36"/>
          <w:szCs w:val="36"/>
        </w:rPr>
      </w:pPr>
    </w:p>
    <w:p w:rsidR="003D4B17" w:rsidRDefault="003D4B17" w:rsidP="003D4B17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p w:rsidR="00672427" w:rsidRPr="00FB0BCB" w:rsidRDefault="00FB0BCB" w:rsidP="003D4B17">
      <w:pPr>
        <w:jc w:val="both"/>
        <w:rPr>
          <w:rFonts w:ascii="Arial Narrow" w:hAnsi="Arial Narrow"/>
          <w:b/>
          <w:sz w:val="28"/>
          <w:szCs w:val="28"/>
        </w:rPr>
      </w:pPr>
      <w:r w:rsidRPr="00FB0BCB">
        <w:rPr>
          <w:rFonts w:ascii="Arial Narrow" w:hAnsi="Arial Narrow"/>
          <w:b/>
          <w:sz w:val="28"/>
          <w:szCs w:val="28"/>
        </w:rPr>
        <w:lastRenderedPageBreak/>
        <w:t>APPENDIX</w:t>
      </w:r>
      <w:r w:rsidR="00672427" w:rsidRPr="00FB0BCB">
        <w:rPr>
          <w:rFonts w:ascii="Arial Narrow" w:hAnsi="Arial Narrow"/>
          <w:b/>
          <w:sz w:val="28"/>
          <w:szCs w:val="28"/>
        </w:rPr>
        <w:t xml:space="preserve"> 1</w:t>
      </w:r>
      <w:r w:rsidR="002D28BE" w:rsidRPr="00FB0BCB"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 xml:space="preserve">     </w:t>
      </w:r>
      <w:r w:rsidR="002D28BE" w:rsidRPr="00FB0BCB">
        <w:rPr>
          <w:rFonts w:ascii="Arial Narrow" w:hAnsi="Arial Narrow"/>
          <w:b/>
          <w:sz w:val="28"/>
          <w:szCs w:val="28"/>
          <w:u w:val="single"/>
        </w:rPr>
        <w:t>The Life Cycle of Economic Development Interventions</w:t>
      </w:r>
      <w:r>
        <w:rPr>
          <w:rFonts w:ascii="Arial Narrow" w:hAnsi="Arial Narrow"/>
          <w:b/>
          <w:sz w:val="28"/>
          <w:szCs w:val="28"/>
          <w:u w:val="single"/>
        </w:rPr>
        <w:t xml:space="preserve"> on GVA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672427" w:rsidTr="002578E8">
        <w:tc>
          <w:tcPr>
            <w:tcW w:w="1848" w:type="dxa"/>
            <w:vAlign w:val="center"/>
          </w:tcPr>
          <w:p w:rsidR="00672427" w:rsidRPr="003406DF" w:rsidRDefault="003406DF" w:rsidP="002578E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406DF">
              <w:rPr>
                <w:rFonts w:ascii="Arial Narrow" w:hAnsi="Arial Narrow"/>
                <w:b/>
                <w:sz w:val="24"/>
                <w:szCs w:val="24"/>
              </w:rPr>
              <w:t>Type of Intervention</w:t>
            </w:r>
          </w:p>
        </w:tc>
        <w:tc>
          <w:tcPr>
            <w:tcW w:w="1848" w:type="dxa"/>
            <w:vAlign w:val="center"/>
          </w:tcPr>
          <w:p w:rsidR="00672427" w:rsidRPr="003406DF" w:rsidRDefault="00672427" w:rsidP="002578E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6DF">
              <w:rPr>
                <w:rFonts w:ascii="Arial Narrow" w:hAnsi="Arial Narrow"/>
                <w:b/>
                <w:sz w:val="24"/>
                <w:szCs w:val="24"/>
              </w:rPr>
              <w:t>Time to deliver</w:t>
            </w:r>
            <w:r w:rsidR="003406DF" w:rsidRPr="003406DF">
              <w:rPr>
                <w:rFonts w:ascii="Arial Narrow" w:hAnsi="Arial Narrow"/>
                <w:b/>
                <w:sz w:val="24"/>
                <w:szCs w:val="24"/>
              </w:rPr>
              <w:t xml:space="preserve"> (years)</w:t>
            </w:r>
          </w:p>
        </w:tc>
        <w:tc>
          <w:tcPr>
            <w:tcW w:w="1848" w:type="dxa"/>
            <w:vAlign w:val="center"/>
          </w:tcPr>
          <w:p w:rsidR="00672427" w:rsidRPr="003406DF" w:rsidRDefault="00672427" w:rsidP="002578E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6DF">
              <w:rPr>
                <w:rFonts w:ascii="Arial Narrow" w:hAnsi="Arial Narrow"/>
                <w:b/>
                <w:sz w:val="24"/>
                <w:szCs w:val="24"/>
              </w:rPr>
              <w:t>Period over which benefits build</w:t>
            </w:r>
            <w:r w:rsidR="003406DF" w:rsidRPr="003406DF">
              <w:rPr>
                <w:rFonts w:ascii="Arial Narrow" w:hAnsi="Arial Narrow"/>
                <w:b/>
                <w:sz w:val="24"/>
                <w:szCs w:val="24"/>
              </w:rPr>
              <w:t xml:space="preserve"> (years)</w:t>
            </w:r>
          </w:p>
        </w:tc>
        <w:tc>
          <w:tcPr>
            <w:tcW w:w="1849" w:type="dxa"/>
            <w:vAlign w:val="center"/>
          </w:tcPr>
          <w:p w:rsidR="00672427" w:rsidRPr="003406DF" w:rsidRDefault="00672427" w:rsidP="002578E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6DF">
              <w:rPr>
                <w:rFonts w:ascii="Arial Narrow" w:hAnsi="Arial Narrow"/>
                <w:b/>
                <w:sz w:val="24"/>
                <w:szCs w:val="24"/>
              </w:rPr>
              <w:t>Persistence of benefits</w:t>
            </w:r>
            <w:r w:rsidR="003406DF" w:rsidRPr="003406DF">
              <w:rPr>
                <w:rFonts w:ascii="Arial Narrow" w:hAnsi="Arial Narrow"/>
                <w:b/>
                <w:sz w:val="24"/>
                <w:szCs w:val="24"/>
              </w:rPr>
              <w:t xml:space="preserve"> (years)</w:t>
            </w:r>
          </w:p>
        </w:tc>
        <w:tc>
          <w:tcPr>
            <w:tcW w:w="1849" w:type="dxa"/>
            <w:vAlign w:val="center"/>
          </w:tcPr>
          <w:p w:rsidR="00672427" w:rsidRPr="003406DF" w:rsidRDefault="00672427" w:rsidP="002578E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6DF">
              <w:rPr>
                <w:rFonts w:ascii="Arial Narrow" w:hAnsi="Arial Narrow"/>
                <w:b/>
                <w:sz w:val="24"/>
                <w:szCs w:val="24"/>
              </w:rPr>
              <w:t>Annual benefit decay</w:t>
            </w:r>
            <w:r w:rsidR="003406DF" w:rsidRPr="003406DF">
              <w:rPr>
                <w:rFonts w:ascii="Arial Narrow" w:hAnsi="Arial Narrow"/>
                <w:b/>
                <w:sz w:val="24"/>
                <w:szCs w:val="24"/>
              </w:rPr>
              <w:t xml:space="preserve"> (%)</w:t>
            </w:r>
          </w:p>
        </w:tc>
      </w:tr>
      <w:tr w:rsidR="00672427" w:rsidTr="002578E8">
        <w:tc>
          <w:tcPr>
            <w:tcW w:w="1848" w:type="dxa"/>
            <w:vAlign w:val="center"/>
          </w:tcPr>
          <w:p w:rsidR="00672427" w:rsidRDefault="003406DF" w:rsidP="002578E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Individual enterprise support</w:t>
            </w:r>
          </w:p>
        </w:tc>
        <w:tc>
          <w:tcPr>
            <w:tcW w:w="1848" w:type="dxa"/>
            <w:vAlign w:val="center"/>
          </w:tcPr>
          <w:p w:rsidR="00672427" w:rsidRDefault="003406DF" w:rsidP="002578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48" w:type="dxa"/>
            <w:vAlign w:val="center"/>
          </w:tcPr>
          <w:p w:rsidR="00672427" w:rsidRDefault="003406DF" w:rsidP="002578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49" w:type="dxa"/>
            <w:vAlign w:val="center"/>
          </w:tcPr>
          <w:p w:rsidR="00672427" w:rsidRDefault="003406DF" w:rsidP="002578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49" w:type="dxa"/>
            <w:vAlign w:val="center"/>
          </w:tcPr>
          <w:p w:rsidR="00672427" w:rsidRDefault="003406DF" w:rsidP="002578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672427" w:rsidTr="002578E8">
        <w:tc>
          <w:tcPr>
            <w:tcW w:w="1848" w:type="dxa"/>
            <w:vAlign w:val="center"/>
          </w:tcPr>
          <w:p w:rsidR="00672427" w:rsidRDefault="003406DF" w:rsidP="002578E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Sector/cluster support</w:t>
            </w:r>
          </w:p>
        </w:tc>
        <w:tc>
          <w:tcPr>
            <w:tcW w:w="1848" w:type="dxa"/>
            <w:vAlign w:val="center"/>
          </w:tcPr>
          <w:p w:rsidR="00672427" w:rsidRDefault="003406DF" w:rsidP="002578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48" w:type="dxa"/>
            <w:vAlign w:val="center"/>
          </w:tcPr>
          <w:p w:rsidR="00672427" w:rsidRDefault="003406DF" w:rsidP="002578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49" w:type="dxa"/>
            <w:vAlign w:val="center"/>
          </w:tcPr>
          <w:p w:rsidR="00672427" w:rsidRDefault="003406DF" w:rsidP="002578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49" w:type="dxa"/>
            <w:vAlign w:val="center"/>
          </w:tcPr>
          <w:p w:rsidR="00672427" w:rsidRDefault="003406DF" w:rsidP="002578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672427" w:rsidTr="002578E8">
        <w:tc>
          <w:tcPr>
            <w:tcW w:w="1848" w:type="dxa"/>
            <w:vAlign w:val="center"/>
          </w:tcPr>
          <w:p w:rsidR="00672427" w:rsidRDefault="003406DF" w:rsidP="002578E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Promotion and d</w:t>
            </w:r>
            <w:r w:rsidR="00FB0BCB">
              <w:rPr>
                <w:rFonts w:ascii="Arial Narrow" w:hAnsi="Arial Narrow"/>
                <w:sz w:val="24"/>
                <w:szCs w:val="24"/>
              </w:rPr>
              <w:t>e</w:t>
            </w:r>
            <w:r w:rsidR="002578E8">
              <w:rPr>
                <w:rFonts w:ascii="Arial Narrow" w:hAnsi="Arial Narrow"/>
                <w:sz w:val="24"/>
                <w:szCs w:val="24"/>
              </w:rPr>
              <w:t>velopment of science, R&amp;</w:t>
            </w:r>
            <w:r>
              <w:rPr>
                <w:rFonts w:ascii="Arial Narrow" w:hAnsi="Arial Narrow"/>
                <w:sz w:val="24"/>
                <w:szCs w:val="24"/>
              </w:rPr>
              <w:t>D and innovation</w:t>
            </w:r>
          </w:p>
        </w:tc>
        <w:tc>
          <w:tcPr>
            <w:tcW w:w="1848" w:type="dxa"/>
            <w:vAlign w:val="center"/>
          </w:tcPr>
          <w:p w:rsidR="00672427" w:rsidRDefault="003406DF" w:rsidP="002578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48" w:type="dxa"/>
            <w:vAlign w:val="center"/>
          </w:tcPr>
          <w:p w:rsidR="00672427" w:rsidRDefault="003406DF" w:rsidP="002578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49" w:type="dxa"/>
            <w:vAlign w:val="center"/>
          </w:tcPr>
          <w:p w:rsidR="00672427" w:rsidRDefault="003406DF" w:rsidP="002578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49" w:type="dxa"/>
            <w:vAlign w:val="center"/>
          </w:tcPr>
          <w:p w:rsidR="00672427" w:rsidRDefault="003406DF" w:rsidP="002578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672427" w:rsidTr="002578E8">
        <w:tc>
          <w:tcPr>
            <w:tcW w:w="1848" w:type="dxa"/>
            <w:vAlign w:val="center"/>
          </w:tcPr>
          <w:p w:rsidR="00672427" w:rsidRDefault="003406DF" w:rsidP="002578E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Inward investment promotion</w:t>
            </w:r>
          </w:p>
        </w:tc>
        <w:tc>
          <w:tcPr>
            <w:tcW w:w="1848" w:type="dxa"/>
            <w:vAlign w:val="center"/>
          </w:tcPr>
          <w:p w:rsidR="00672427" w:rsidRDefault="003406DF" w:rsidP="002578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48" w:type="dxa"/>
            <w:vAlign w:val="center"/>
          </w:tcPr>
          <w:p w:rsidR="00672427" w:rsidRDefault="003406DF" w:rsidP="002578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49" w:type="dxa"/>
            <w:vAlign w:val="center"/>
          </w:tcPr>
          <w:p w:rsidR="00672427" w:rsidRDefault="003406DF" w:rsidP="002578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849" w:type="dxa"/>
            <w:vAlign w:val="center"/>
          </w:tcPr>
          <w:p w:rsidR="00672427" w:rsidRDefault="003406DF" w:rsidP="002578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672427" w:rsidTr="002578E8">
        <w:tc>
          <w:tcPr>
            <w:tcW w:w="1848" w:type="dxa"/>
            <w:vAlign w:val="center"/>
          </w:tcPr>
          <w:p w:rsidR="00672427" w:rsidRDefault="003406DF" w:rsidP="002578E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Bringing land back into use</w:t>
            </w:r>
          </w:p>
        </w:tc>
        <w:tc>
          <w:tcPr>
            <w:tcW w:w="1848" w:type="dxa"/>
            <w:vAlign w:val="center"/>
          </w:tcPr>
          <w:p w:rsidR="00672427" w:rsidRDefault="00550DF7" w:rsidP="002578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848" w:type="dxa"/>
            <w:vAlign w:val="center"/>
          </w:tcPr>
          <w:p w:rsidR="00672427" w:rsidRDefault="00550DF7" w:rsidP="002578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49" w:type="dxa"/>
            <w:vAlign w:val="center"/>
          </w:tcPr>
          <w:p w:rsidR="00672427" w:rsidRDefault="00550DF7" w:rsidP="002578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849" w:type="dxa"/>
            <w:vAlign w:val="center"/>
          </w:tcPr>
          <w:p w:rsidR="00672427" w:rsidRDefault="00550DF7" w:rsidP="002578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672427" w:rsidTr="002578E8">
        <w:tc>
          <w:tcPr>
            <w:tcW w:w="1848" w:type="dxa"/>
            <w:vAlign w:val="center"/>
          </w:tcPr>
          <w:p w:rsidR="00672427" w:rsidRDefault="003406DF" w:rsidP="002578E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Public realm</w:t>
            </w:r>
          </w:p>
        </w:tc>
        <w:tc>
          <w:tcPr>
            <w:tcW w:w="1848" w:type="dxa"/>
            <w:vAlign w:val="center"/>
          </w:tcPr>
          <w:p w:rsidR="00672427" w:rsidRDefault="00550DF7" w:rsidP="002578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48" w:type="dxa"/>
            <w:vAlign w:val="center"/>
          </w:tcPr>
          <w:p w:rsidR="00672427" w:rsidRDefault="00550DF7" w:rsidP="002578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49" w:type="dxa"/>
            <w:vAlign w:val="center"/>
          </w:tcPr>
          <w:p w:rsidR="00672427" w:rsidRDefault="00550DF7" w:rsidP="002578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849" w:type="dxa"/>
            <w:vAlign w:val="center"/>
          </w:tcPr>
          <w:p w:rsidR="00672427" w:rsidRDefault="00550DF7" w:rsidP="002578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672427" w:rsidTr="002578E8">
        <w:tc>
          <w:tcPr>
            <w:tcW w:w="1848" w:type="dxa"/>
            <w:vAlign w:val="center"/>
          </w:tcPr>
          <w:p w:rsidR="00672427" w:rsidRDefault="003406DF" w:rsidP="002578E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Image events and tourism</w:t>
            </w:r>
          </w:p>
        </w:tc>
        <w:tc>
          <w:tcPr>
            <w:tcW w:w="1848" w:type="dxa"/>
            <w:vAlign w:val="center"/>
          </w:tcPr>
          <w:p w:rsidR="00672427" w:rsidRDefault="00550DF7" w:rsidP="002578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48" w:type="dxa"/>
            <w:vAlign w:val="center"/>
          </w:tcPr>
          <w:p w:rsidR="00672427" w:rsidRDefault="00550DF7" w:rsidP="002578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49" w:type="dxa"/>
            <w:vAlign w:val="center"/>
          </w:tcPr>
          <w:p w:rsidR="00672427" w:rsidRDefault="00550DF7" w:rsidP="002578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49" w:type="dxa"/>
            <w:vAlign w:val="center"/>
          </w:tcPr>
          <w:p w:rsidR="00672427" w:rsidRDefault="00550DF7" w:rsidP="002578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</w:tbl>
    <w:p w:rsidR="00672427" w:rsidRPr="003406DF" w:rsidRDefault="003406DF" w:rsidP="00550DF7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3406DF">
        <w:rPr>
          <w:rFonts w:ascii="Arial Narrow" w:hAnsi="Arial Narrow"/>
          <w:b/>
          <w:sz w:val="24"/>
          <w:szCs w:val="24"/>
        </w:rPr>
        <w:t>Source:-</w:t>
      </w:r>
    </w:p>
    <w:p w:rsidR="003406DF" w:rsidRPr="003406DF" w:rsidRDefault="00E53336" w:rsidP="00550DF7">
      <w:pPr>
        <w:spacing w:after="0"/>
        <w:jc w:val="both"/>
        <w:rPr>
          <w:rFonts w:ascii="Arial Narrow" w:hAnsi="Arial Narrow"/>
          <w:sz w:val="16"/>
          <w:szCs w:val="16"/>
        </w:rPr>
      </w:pPr>
      <w:hyperlink r:id="rId9" w:history="1">
        <w:r w:rsidR="003406DF" w:rsidRPr="003406DF">
          <w:rPr>
            <w:rStyle w:val="Hyperlink"/>
            <w:rFonts w:ascii="Arial Narrow" w:hAnsi="Arial Narrow"/>
            <w:sz w:val="16"/>
            <w:szCs w:val="16"/>
          </w:rPr>
          <w:t>http://www.berr.gov.uk/files/file50735.pdf</w:t>
        </w:r>
      </w:hyperlink>
    </w:p>
    <w:p w:rsidR="003406DF" w:rsidRPr="003406DF" w:rsidRDefault="003406DF" w:rsidP="003406DF">
      <w:pPr>
        <w:spacing w:after="0"/>
        <w:jc w:val="both"/>
        <w:rPr>
          <w:rFonts w:ascii="Arial Narrow" w:hAnsi="Arial Narrow"/>
          <w:sz w:val="16"/>
          <w:szCs w:val="16"/>
        </w:rPr>
      </w:pPr>
      <w:r w:rsidRPr="003406DF">
        <w:rPr>
          <w:rFonts w:ascii="Arial Narrow" w:hAnsi="Arial Narrow"/>
          <w:sz w:val="16"/>
          <w:szCs w:val="16"/>
        </w:rPr>
        <w:t>P. 90, Table 53.</w:t>
      </w:r>
    </w:p>
    <w:sectPr w:rsidR="003406DF" w:rsidRPr="003406DF" w:rsidSect="002B4B6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79D" w:rsidRDefault="0053579D" w:rsidP="003D4B17">
      <w:pPr>
        <w:spacing w:after="0" w:line="240" w:lineRule="auto"/>
      </w:pPr>
      <w:r>
        <w:separator/>
      </w:r>
    </w:p>
  </w:endnote>
  <w:endnote w:type="continuationSeparator" w:id="0">
    <w:p w:rsidR="0053579D" w:rsidRDefault="0053579D" w:rsidP="003D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79D" w:rsidRDefault="0053579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00019F">
      <w:rPr>
        <w:rFonts w:ascii="Arial Narrow" w:hAnsi="Arial Narrow"/>
        <w:i/>
        <w:sz w:val="16"/>
        <w:szCs w:val="16"/>
      </w:rPr>
      <w:t>January 2014</w:t>
    </w:r>
    <w:r w:rsidRPr="0000019F">
      <w:rPr>
        <w:rFonts w:ascii="Arial Narrow" w:hAnsi="Arial Narrow"/>
        <w:i/>
        <w:sz w:val="16"/>
        <w:szCs w:val="16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8C328D" w:rsidRPr="008C328D">
        <w:rPr>
          <w:rFonts w:asciiTheme="majorHAnsi" w:hAnsiTheme="majorHAnsi"/>
          <w:noProof/>
        </w:rPr>
        <w:t>1</w:t>
      </w:r>
    </w:fldSimple>
  </w:p>
  <w:p w:rsidR="0053579D" w:rsidRDefault="005357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79D" w:rsidRDefault="0053579D" w:rsidP="003D4B17">
      <w:pPr>
        <w:spacing w:after="0" w:line="240" w:lineRule="auto"/>
      </w:pPr>
      <w:r>
        <w:separator/>
      </w:r>
    </w:p>
  </w:footnote>
  <w:footnote w:type="continuationSeparator" w:id="0">
    <w:p w:rsidR="0053579D" w:rsidRDefault="0053579D" w:rsidP="003D4B17">
      <w:pPr>
        <w:spacing w:after="0" w:line="240" w:lineRule="auto"/>
      </w:pPr>
      <w:r>
        <w:continuationSeparator/>
      </w:r>
    </w:p>
  </w:footnote>
  <w:footnote w:id="1">
    <w:p w:rsidR="0053579D" w:rsidRPr="00246440" w:rsidRDefault="0053579D" w:rsidP="00246440">
      <w:pPr>
        <w:pStyle w:val="FootnoteText"/>
        <w:spacing w:after="0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246440">
          <w:rPr>
            <w:rStyle w:val="Hyperlink"/>
            <w:rFonts w:ascii="Arial Narrow" w:hAnsi="Arial Narrow"/>
            <w:sz w:val="16"/>
            <w:szCs w:val="16"/>
          </w:rPr>
          <w:t>http://www.berr.gov.uk/files/file50735.pdf</w:t>
        </w:r>
      </w:hyperlink>
    </w:p>
    <w:p w:rsidR="0053579D" w:rsidRPr="007573D1" w:rsidRDefault="0053579D" w:rsidP="00246440">
      <w:pPr>
        <w:pStyle w:val="FootnoteText"/>
        <w:spacing w:after="0"/>
        <w:rPr>
          <w:rFonts w:ascii="Arial Narrow" w:hAnsi="Arial Narrow"/>
          <w:sz w:val="16"/>
          <w:szCs w:val="16"/>
        </w:rPr>
      </w:pPr>
      <w:r w:rsidRPr="00246440">
        <w:rPr>
          <w:rFonts w:ascii="Arial Narrow" w:hAnsi="Arial Narrow"/>
          <w:sz w:val="16"/>
          <w:szCs w:val="16"/>
        </w:rPr>
        <w:t>p</w:t>
      </w:r>
      <w:r>
        <w:rPr>
          <w:rFonts w:ascii="Arial Narrow" w:hAnsi="Arial Narrow"/>
          <w:sz w:val="16"/>
          <w:szCs w:val="16"/>
        </w:rPr>
        <w:t>p</w:t>
      </w:r>
      <w:r w:rsidRPr="00246440">
        <w:rPr>
          <w:rFonts w:ascii="Arial Narrow" w:hAnsi="Arial Narrow"/>
          <w:sz w:val="16"/>
          <w:szCs w:val="16"/>
        </w:rPr>
        <w:t>. 30</w:t>
      </w:r>
      <w:r>
        <w:rPr>
          <w:rFonts w:ascii="Arial Narrow" w:hAnsi="Arial Narrow"/>
          <w:sz w:val="16"/>
          <w:szCs w:val="16"/>
        </w:rPr>
        <w:t>-31.</w:t>
      </w:r>
    </w:p>
  </w:footnote>
  <w:footnote w:id="2">
    <w:p w:rsidR="0053579D" w:rsidRDefault="0053579D" w:rsidP="00363D1F">
      <w:pPr>
        <w:pStyle w:val="FootnoteText"/>
        <w:spacing w:after="0"/>
      </w:pPr>
      <w:r w:rsidRPr="007573D1">
        <w:rPr>
          <w:rStyle w:val="FootnoteReference"/>
          <w:rFonts w:ascii="Arial Narrow" w:hAnsi="Arial Narrow"/>
          <w:sz w:val="16"/>
          <w:szCs w:val="16"/>
        </w:rPr>
        <w:footnoteRef/>
      </w:r>
      <w:r w:rsidRPr="007573D1">
        <w:rPr>
          <w:rFonts w:ascii="Arial Narrow" w:hAnsi="Arial Narrow"/>
          <w:sz w:val="16"/>
          <w:szCs w:val="16"/>
        </w:rPr>
        <w:t xml:space="preserve"> Ibid.</w:t>
      </w:r>
      <w:r>
        <w:rPr>
          <w:rFonts w:ascii="Arial Narrow" w:hAnsi="Arial Narrow"/>
          <w:sz w:val="16"/>
          <w:szCs w:val="16"/>
        </w:rPr>
        <w:t xml:space="preserve"> pp. 89-90.</w:t>
      </w:r>
    </w:p>
  </w:footnote>
  <w:footnote w:id="3">
    <w:p w:rsidR="0053579D" w:rsidRPr="00363D1F" w:rsidRDefault="0053579D" w:rsidP="00363D1F">
      <w:pPr>
        <w:pStyle w:val="FootnoteText"/>
        <w:spacing w:after="0"/>
        <w:rPr>
          <w:rFonts w:ascii="Arial Narrow" w:hAnsi="Arial Narrow"/>
          <w:sz w:val="16"/>
          <w:szCs w:val="16"/>
        </w:rPr>
      </w:pPr>
      <w:r w:rsidRPr="00363D1F">
        <w:rPr>
          <w:rStyle w:val="FootnoteReference"/>
          <w:rFonts w:ascii="Arial Narrow" w:hAnsi="Arial Narrow"/>
          <w:sz w:val="16"/>
          <w:szCs w:val="16"/>
        </w:rPr>
        <w:footnoteRef/>
      </w:r>
      <w:r w:rsidRPr="00363D1F">
        <w:rPr>
          <w:rFonts w:ascii="Arial Narrow" w:hAnsi="Arial Narrow"/>
          <w:sz w:val="16"/>
          <w:szCs w:val="16"/>
        </w:rPr>
        <w:t xml:space="preserve"> In its simplist form this has four stages: development, growth, maturity and decline.</w:t>
      </w:r>
    </w:p>
  </w:footnote>
  <w:footnote w:id="4">
    <w:p w:rsidR="0053579D" w:rsidRPr="00C268D2" w:rsidRDefault="0053579D" w:rsidP="00C268D2">
      <w:pPr>
        <w:pStyle w:val="FootnoteText"/>
        <w:spacing w:after="0"/>
        <w:rPr>
          <w:rFonts w:ascii="Arial Narrow" w:hAnsi="Arial Narrow"/>
          <w:sz w:val="16"/>
          <w:szCs w:val="16"/>
        </w:rPr>
      </w:pPr>
      <w:r w:rsidRPr="00363D1F">
        <w:rPr>
          <w:rStyle w:val="FootnoteReference"/>
          <w:rFonts w:ascii="Arial Narrow" w:hAnsi="Arial Narrow"/>
          <w:sz w:val="16"/>
          <w:szCs w:val="16"/>
        </w:rPr>
        <w:footnoteRef/>
      </w:r>
      <w:r w:rsidRPr="00363D1F">
        <w:rPr>
          <w:rFonts w:ascii="Arial Narrow" w:hAnsi="Arial Narrow"/>
          <w:sz w:val="16"/>
          <w:szCs w:val="16"/>
        </w:rPr>
        <w:t xml:space="preserve"> </w:t>
      </w:r>
      <w:hyperlink r:id="rId2" w:history="1">
        <w:r w:rsidRPr="00363D1F">
          <w:rPr>
            <w:rStyle w:val="Hyperlink"/>
            <w:rFonts w:ascii="Arial Narrow" w:hAnsi="Arial Narrow"/>
            <w:sz w:val="16"/>
            <w:szCs w:val="16"/>
          </w:rPr>
          <w:t>http://gamerant.com/ps4-xbox-one-life-cycle/</w:t>
        </w:r>
      </w:hyperlink>
    </w:p>
  </w:footnote>
  <w:footnote w:id="5">
    <w:p w:rsidR="0053579D" w:rsidRPr="00363D1F" w:rsidRDefault="0053579D" w:rsidP="00363D1F">
      <w:pPr>
        <w:pStyle w:val="FootnoteText"/>
        <w:spacing w:after="0"/>
        <w:rPr>
          <w:rFonts w:ascii="Arial Narrow" w:hAnsi="Arial Narrow"/>
          <w:sz w:val="16"/>
          <w:szCs w:val="16"/>
        </w:rPr>
      </w:pPr>
      <w:r w:rsidRPr="00C527EC">
        <w:rPr>
          <w:rStyle w:val="FootnoteReference"/>
          <w:rFonts w:ascii="Arial Narrow" w:hAnsi="Arial Narrow"/>
          <w:sz w:val="16"/>
          <w:szCs w:val="16"/>
        </w:rPr>
        <w:footnoteRef/>
      </w:r>
      <w:r w:rsidRPr="00C527EC">
        <w:rPr>
          <w:rFonts w:ascii="Arial Narrow" w:hAnsi="Arial Narrow"/>
          <w:sz w:val="16"/>
          <w:szCs w:val="16"/>
        </w:rPr>
        <w:t xml:space="preserve"> </w:t>
      </w:r>
      <w:hyperlink r:id="rId3" w:history="1">
        <w:r w:rsidRPr="00C527EC">
          <w:rPr>
            <w:rStyle w:val="Hyperlink"/>
            <w:rFonts w:ascii="Arial Narrow" w:hAnsi="Arial Narrow"/>
            <w:sz w:val="16"/>
            <w:szCs w:val="16"/>
          </w:rPr>
          <w:t>https://www.boundless.com/marketing/products/product-life-cycles/introduction/</w:t>
        </w:r>
      </w:hyperlink>
    </w:p>
  </w:footnote>
  <w:footnote w:id="6">
    <w:p w:rsidR="0053579D" w:rsidRDefault="0053579D" w:rsidP="00567ADE">
      <w:pPr>
        <w:pStyle w:val="FootnoteText"/>
        <w:spacing w:after="0"/>
        <w:rPr>
          <w:rFonts w:ascii="Arial Narrow" w:hAnsi="Arial Narrow"/>
          <w:sz w:val="16"/>
          <w:szCs w:val="16"/>
        </w:rPr>
      </w:pPr>
      <w:r w:rsidRPr="005153D7">
        <w:rPr>
          <w:rStyle w:val="FootnoteReference"/>
          <w:rFonts w:ascii="Arial Narrow" w:hAnsi="Arial Narrow"/>
          <w:sz w:val="16"/>
          <w:szCs w:val="16"/>
        </w:rPr>
        <w:footnoteRef/>
      </w:r>
      <w:r w:rsidRPr="005153D7">
        <w:rPr>
          <w:rFonts w:ascii="Arial Narrow" w:hAnsi="Arial Narrow"/>
          <w:sz w:val="16"/>
          <w:szCs w:val="16"/>
        </w:rPr>
        <w:t xml:space="preserve"> </w:t>
      </w:r>
      <w:hyperlink r:id="rId4" w:history="1">
        <w:r w:rsidRPr="005153D7">
          <w:rPr>
            <w:rStyle w:val="Hyperlink"/>
            <w:rFonts w:ascii="Arial Narrow" w:hAnsi="Arial Narrow"/>
            <w:sz w:val="16"/>
            <w:szCs w:val="16"/>
          </w:rPr>
          <w:t>http://www.evaluationsonline.org.uk/evaluations/Search.do?ui=basic&amp;action=show&amp;id=530</w:t>
        </w:r>
      </w:hyperlink>
    </w:p>
    <w:p w:rsidR="0053579D" w:rsidRPr="00567ADE" w:rsidRDefault="0053579D" w:rsidP="00567ADE">
      <w:pPr>
        <w:pStyle w:val="FootnoteText"/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p.85.</w:t>
      </w:r>
    </w:p>
  </w:footnote>
  <w:footnote w:id="7">
    <w:p w:rsidR="0053579D" w:rsidRDefault="0053579D" w:rsidP="00B36ABF">
      <w:pPr>
        <w:pStyle w:val="FootnoteText"/>
        <w:spacing w:after="0"/>
        <w:rPr>
          <w:rFonts w:ascii="Arial Narrow" w:hAnsi="Arial Narrow"/>
          <w:sz w:val="16"/>
          <w:szCs w:val="16"/>
        </w:rPr>
      </w:pPr>
      <w:r w:rsidRPr="00567ADE">
        <w:rPr>
          <w:rStyle w:val="FootnoteReference"/>
          <w:rFonts w:ascii="Arial Narrow" w:hAnsi="Arial Narrow"/>
          <w:sz w:val="16"/>
          <w:szCs w:val="16"/>
        </w:rPr>
        <w:footnoteRef/>
      </w:r>
      <w:r w:rsidRPr="00567ADE">
        <w:rPr>
          <w:rFonts w:ascii="Arial Narrow" w:hAnsi="Arial Narrow"/>
          <w:sz w:val="16"/>
          <w:szCs w:val="16"/>
        </w:rPr>
        <w:t xml:space="preserve"> </w:t>
      </w:r>
      <w:hyperlink r:id="rId5" w:history="1">
        <w:r w:rsidRPr="00F108DD">
          <w:rPr>
            <w:rStyle w:val="Hyperlink"/>
            <w:rFonts w:ascii="Arial Narrow" w:hAnsi="Arial Narrow"/>
            <w:sz w:val="16"/>
            <w:szCs w:val="16"/>
          </w:rPr>
          <w:t>http://www.evaluationsonline.org.uk/evaluations/Search.do?ui=basic&amp;action=show&amp;id=468</w:t>
        </w:r>
      </w:hyperlink>
    </w:p>
    <w:p w:rsidR="0053579D" w:rsidRPr="00567ADE" w:rsidRDefault="0053579D" w:rsidP="00B36ABF">
      <w:pPr>
        <w:pStyle w:val="FootnoteText"/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P. 46, para. 4.23.</w:t>
      </w:r>
    </w:p>
  </w:footnote>
  <w:footnote w:id="8">
    <w:p w:rsidR="0053579D" w:rsidRPr="00672427" w:rsidRDefault="0053579D" w:rsidP="00672427">
      <w:pPr>
        <w:pStyle w:val="FootnoteText"/>
        <w:spacing w:after="0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t xml:space="preserve"> </w:t>
      </w:r>
      <w:r>
        <w:rPr>
          <w:rStyle w:val="FootnoteReference"/>
        </w:rPr>
        <w:footnoteRef/>
      </w:r>
      <w:r>
        <w:t xml:space="preserve"> </w:t>
      </w:r>
      <w:hyperlink r:id="rId6" w:history="1">
        <w:r w:rsidRPr="00246440">
          <w:rPr>
            <w:rStyle w:val="Hyperlink"/>
            <w:rFonts w:ascii="Arial Narrow" w:hAnsi="Arial Narrow"/>
            <w:sz w:val="16"/>
            <w:szCs w:val="16"/>
          </w:rPr>
          <w:t>http://www.berr.gov.uk/files/file50735.pdf</w:t>
        </w:r>
      </w:hyperlink>
    </w:p>
  </w:footnote>
  <w:footnote w:id="9">
    <w:p w:rsidR="0053579D" w:rsidRPr="00672427" w:rsidRDefault="0053579D" w:rsidP="00672427">
      <w:pPr>
        <w:pStyle w:val="FootnoteText"/>
        <w:spacing w:after="0"/>
        <w:jc w:val="both"/>
        <w:rPr>
          <w:rFonts w:ascii="Arial Narrow" w:hAnsi="Arial Narrow"/>
          <w:sz w:val="16"/>
          <w:szCs w:val="16"/>
        </w:rPr>
      </w:pPr>
      <w:r w:rsidRPr="00672427">
        <w:rPr>
          <w:rStyle w:val="FootnoteReference"/>
          <w:rFonts w:ascii="Arial Narrow" w:hAnsi="Arial Narrow"/>
          <w:sz w:val="16"/>
          <w:szCs w:val="16"/>
        </w:rPr>
        <w:footnoteRef/>
      </w:r>
      <w:r w:rsidRPr="00672427">
        <w:rPr>
          <w:rFonts w:ascii="Arial Narrow" w:hAnsi="Arial Narrow"/>
          <w:sz w:val="16"/>
          <w:szCs w:val="16"/>
        </w:rPr>
        <w:t xml:space="preserve"> For example although the report was publishd in 2009 it is based on an analysis of evaluations undertaken between 2002/03 and 2006/07 when economic conditions were very different.</w:t>
      </w:r>
    </w:p>
  </w:footnote>
  <w:footnote w:id="10">
    <w:p w:rsidR="0053579D" w:rsidRPr="00672427" w:rsidRDefault="0053579D" w:rsidP="00672427">
      <w:pPr>
        <w:pStyle w:val="FootnoteText"/>
        <w:spacing w:after="0"/>
        <w:rPr>
          <w:rFonts w:ascii="Arial Narrow" w:hAnsi="Arial Narrow"/>
          <w:sz w:val="16"/>
          <w:szCs w:val="16"/>
        </w:rPr>
      </w:pPr>
      <w:r w:rsidRPr="00672427">
        <w:rPr>
          <w:rStyle w:val="FootnoteReference"/>
          <w:rFonts w:ascii="Arial Narrow" w:hAnsi="Arial Narrow"/>
          <w:sz w:val="16"/>
          <w:szCs w:val="16"/>
        </w:rPr>
        <w:footnoteRef/>
      </w:r>
      <w:r w:rsidRPr="00672427">
        <w:rPr>
          <w:rFonts w:ascii="Arial Narrow" w:hAnsi="Arial Narrow"/>
          <w:sz w:val="16"/>
          <w:szCs w:val="16"/>
        </w:rPr>
        <w:t xml:space="preserve"> </w:t>
      </w:r>
      <w:hyperlink r:id="rId7" w:history="1">
        <w:r w:rsidRPr="00672427">
          <w:rPr>
            <w:rStyle w:val="Hyperlink"/>
            <w:rFonts w:ascii="Arial Narrow" w:hAnsi="Arial Narrow"/>
            <w:sz w:val="16"/>
            <w:szCs w:val="16"/>
          </w:rPr>
          <w:t>http://www.berr.gov.uk/files/file50735.pdf</w:t>
        </w:r>
      </w:hyperlink>
    </w:p>
    <w:p w:rsidR="0053579D" w:rsidRPr="00672427" w:rsidRDefault="0053579D" w:rsidP="00672427">
      <w:pPr>
        <w:pStyle w:val="FootnoteText"/>
        <w:spacing w:after="0"/>
        <w:rPr>
          <w:rFonts w:ascii="Arial Narrow" w:hAnsi="Arial Narrow"/>
          <w:sz w:val="16"/>
          <w:szCs w:val="16"/>
        </w:rPr>
      </w:pPr>
      <w:r w:rsidRPr="00672427">
        <w:rPr>
          <w:rFonts w:ascii="Arial Narrow" w:hAnsi="Arial Narrow"/>
          <w:sz w:val="16"/>
          <w:szCs w:val="16"/>
        </w:rPr>
        <w:t>p.90.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79D" w:rsidRPr="0000019F" w:rsidRDefault="0053579D">
    <w:pPr>
      <w:pStyle w:val="Header"/>
      <w:rPr>
        <w:rFonts w:ascii="Arial Narrow" w:hAnsi="Arial Narrow"/>
        <w:i/>
        <w:sz w:val="16"/>
        <w:szCs w:val="16"/>
      </w:rPr>
    </w:pPr>
    <w:r w:rsidRPr="0000019F">
      <w:rPr>
        <w:rFonts w:ascii="Arial Narrow" w:hAnsi="Arial Narrow"/>
        <w:i/>
        <w:sz w:val="16"/>
        <w:szCs w:val="16"/>
      </w:rPr>
      <w:t>Scottish Enterprise Economic Impact Guidance</w:t>
    </w:r>
  </w:p>
  <w:p w:rsidR="0053579D" w:rsidRDefault="005357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34F6"/>
    <w:multiLevelType w:val="hybridMultilevel"/>
    <w:tmpl w:val="07A458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8426C1"/>
    <w:multiLevelType w:val="hybridMultilevel"/>
    <w:tmpl w:val="E2324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60C68"/>
    <w:multiLevelType w:val="hybridMultilevel"/>
    <w:tmpl w:val="4522C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119BC"/>
    <w:multiLevelType w:val="hybridMultilevel"/>
    <w:tmpl w:val="EC040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C62AD"/>
    <w:multiLevelType w:val="hybridMultilevel"/>
    <w:tmpl w:val="CB82F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751DB"/>
    <w:multiLevelType w:val="hybridMultilevel"/>
    <w:tmpl w:val="092408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4A63A8"/>
    <w:multiLevelType w:val="hybridMultilevel"/>
    <w:tmpl w:val="EC8C7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953DE"/>
    <w:multiLevelType w:val="hybridMultilevel"/>
    <w:tmpl w:val="5C20A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76DD4"/>
    <w:multiLevelType w:val="hybridMultilevel"/>
    <w:tmpl w:val="45703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37877"/>
    <w:multiLevelType w:val="hybridMultilevel"/>
    <w:tmpl w:val="5B9E1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B17"/>
    <w:rsid w:val="0000019F"/>
    <w:rsid w:val="000060EB"/>
    <w:rsid w:val="00246440"/>
    <w:rsid w:val="002578E8"/>
    <w:rsid w:val="002B4B6D"/>
    <w:rsid w:val="002C16B9"/>
    <w:rsid w:val="002D28BE"/>
    <w:rsid w:val="003406DF"/>
    <w:rsid w:val="0034370D"/>
    <w:rsid w:val="00363D1F"/>
    <w:rsid w:val="003B5987"/>
    <w:rsid w:val="003D4B17"/>
    <w:rsid w:val="005153D7"/>
    <w:rsid w:val="0053579D"/>
    <w:rsid w:val="00550DF7"/>
    <w:rsid w:val="00567ADE"/>
    <w:rsid w:val="005E6C15"/>
    <w:rsid w:val="00672427"/>
    <w:rsid w:val="006B40F8"/>
    <w:rsid w:val="007573D1"/>
    <w:rsid w:val="008013AD"/>
    <w:rsid w:val="00834989"/>
    <w:rsid w:val="008C328D"/>
    <w:rsid w:val="008C7DB7"/>
    <w:rsid w:val="00A02DBE"/>
    <w:rsid w:val="00A51CEE"/>
    <w:rsid w:val="00B36ABF"/>
    <w:rsid w:val="00B51F3F"/>
    <w:rsid w:val="00B748AD"/>
    <w:rsid w:val="00BC6649"/>
    <w:rsid w:val="00BD0766"/>
    <w:rsid w:val="00C268D2"/>
    <w:rsid w:val="00C527EC"/>
    <w:rsid w:val="00C54746"/>
    <w:rsid w:val="00CD6B0D"/>
    <w:rsid w:val="00D04185"/>
    <w:rsid w:val="00D2567A"/>
    <w:rsid w:val="00E53336"/>
    <w:rsid w:val="00EB2C9A"/>
    <w:rsid w:val="00EF41A8"/>
    <w:rsid w:val="00F2061D"/>
    <w:rsid w:val="00F40B9E"/>
    <w:rsid w:val="00FB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6D"/>
  </w:style>
  <w:style w:type="paragraph" w:styleId="Heading1">
    <w:name w:val="heading 1"/>
    <w:basedOn w:val="Normal"/>
    <w:next w:val="Normal"/>
    <w:link w:val="Heading1Char"/>
    <w:qFormat/>
    <w:rsid w:val="003D4B17"/>
    <w:pPr>
      <w:spacing w:before="240"/>
      <w:jc w:val="center"/>
      <w:outlineLvl w:val="0"/>
    </w:pPr>
    <w:rPr>
      <w:rFonts w:ascii="Calibri" w:eastAsia="Calibri" w:hAnsi="Calibri" w:cs="Times New Roman"/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4B17"/>
    <w:rPr>
      <w:rFonts w:ascii="Calibri" w:eastAsia="Calibri" w:hAnsi="Calibri" w:cs="Times New Roman"/>
      <w:b/>
      <w:sz w:val="40"/>
      <w:szCs w:val="40"/>
    </w:rPr>
  </w:style>
  <w:style w:type="paragraph" w:styleId="ListParagraph">
    <w:name w:val="List Paragraph"/>
    <w:basedOn w:val="Normal"/>
    <w:link w:val="ListParagraphChar"/>
    <w:qFormat/>
    <w:rsid w:val="003D4B17"/>
    <w:pPr>
      <w:ind w:left="720"/>
      <w:contextualSpacing/>
    </w:pPr>
    <w:rPr>
      <w:rFonts w:ascii="Calibri" w:eastAsia="MS Mincho" w:hAnsi="Calibri" w:cs="Times New Roman"/>
      <w:sz w:val="20"/>
      <w:szCs w:val="20"/>
      <w:lang w:eastAsia="ja-JP"/>
    </w:rPr>
  </w:style>
  <w:style w:type="character" w:customStyle="1" w:styleId="ListParagraphChar">
    <w:name w:val="List Paragraph Char"/>
    <w:link w:val="ListParagraph"/>
    <w:locked/>
    <w:rsid w:val="003D4B17"/>
    <w:rPr>
      <w:rFonts w:ascii="Calibri" w:eastAsia="MS Mincho" w:hAnsi="Calibri" w:cs="Times New Roman"/>
      <w:sz w:val="20"/>
      <w:szCs w:val="20"/>
      <w:lang w:eastAsia="ja-JP"/>
    </w:rPr>
  </w:style>
  <w:style w:type="paragraph" w:styleId="FootnoteText">
    <w:name w:val="footnote text"/>
    <w:basedOn w:val="Normal"/>
    <w:link w:val="FootnoteTextChar"/>
    <w:semiHidden/>
    <w:rsid w:val="003D4B17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D4B1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3D4B17"/>
    <w:rPr>
      <w:vertAlign w:val="superscript"/>
    </w:rPr>
  </w:style>
  <w:style w:type="character" w:styleId="Hyperlink">
    <w:name w:val="Hyperlink"/>
    <w:basedOn w:val="DefaultParagraphFont"/>
    <w:rsid w:val="003D4B17"/>
    <w:rPr>
      <w:color w:val="0000FF"/>
      <w:u w:val="single"/>
    </w:rPr>
  </w:style>
  <w:style w:type="table" w:styleId="TableGrid">
    <w:name w:val="Table Grid"/>
    <w:basedOn w:val="TableNormal"/>
    <w:uiPriority w:val="59"/>
    <w:rsid w:val="00672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0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19F"/>
  </w:style>
  <w:style w:type="paragraph" w:styleId="Footer">
    <w:name w:val="footer"/>
    <w:basedOn w:val="Normal"/>
    <w:link w:val="FooterChar"/>
    <w:uiPriority w:val="99"/>
    <w:unhideWhenUsed/>
    <w:rsid w:val="00000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19F"/>
  </w:style>
  <w:style w:type="paragraph" w:styleId="BalloonText">
    <w:name w:val="Balloon Text"/>
    <w:basedOn w:val="Normal"/>
    <w:link w:val="BalloonTextChar"/>
    <w:uiPriority w:val="99"/>
    <w:semiHidden/>
    <w:unhideWhenUsed/>
    <w:rsid w:val="0000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ne.fleming@scotent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rr.gov.uk/files/file50735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oundless.com/marketing/products/product-life-cycles/introduction/" TargetMode="External"/><Relationship Id="rId7" Type="http://schemas.openxmlformats.org/officeDocument/2006/relationships/hyperlink" Target="http://www.berr.gov.uk/files/file50735.pdf" TargetMode="External"/><Relationship Id="rId2" Type="http://schemas.openxmlformats.org/officeDocument/2006/relationships/hyperlink" Target="http://gamerant.com/ps4-xbox-one-life-cycle/" TargetMode="External"/><Relationship Id="rId1" Type="http://schemas.openxmlformats.org/officeDocument/2006/relationships/hyperlink" Target="http://www.berr.gov.uk/files/file50735.pdf" TargetMode="External"/><Relationship Id="rId6" Type="http://schemas.openxmlformats.org/officeDocument/2006/relationships/hyperlink" Target="http://www.berr.gov.uk/files/file50735.pdf" TargetMode="External"/><Relationship Id="rId5" Type="http://schemas.openxmlformats.org/officeDocument/2006/relationships/hyperlink" Target="http://www.evaluationsonline.org.uk/evaluations/Search.do?ui=basic&amp;action=show&amp;id=468" TargetMode="External"/><Relationship Id="rId4" Type="http://schemas.openxmlformats.org/officeDocument/2006/relationships/hyperlink" Target="http://www.evaluationsonline.org.uk/evaluations/Search.do?ui=basic&amp;action=show&amp;id=5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089A34-E7B0-44FF-B048-CAC47EF2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Enterprise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hayton</dc:creator>
  <cp:keywords/>
  <dc:description/>
  <cp:lastModifiedBy>hayton</cp:lastModifiedBy>
  <cp:revision>5</cp:revision>
  <dcterms:created xsi:type="dcterms:W3CDTF">2014-01-15T15:52:00Z</dcterms:created>
  <dcterms:modified xsi:type="dcterms:W3CDTF">2014-03-27T11:46:00Z</dcterms:modified>
</cp:coreProperties>
</file>