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F0" w:rsidRPr="00917681" w:rsidRDefault="008E51F0" w:rsidP="008E51F0">
      <w:pPr>
        <w:pStyle w:val="Heading1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Summary Check L</w:t>
      </w:r>
      <w:r w:rsidR="00981221">
        <w:rPr>
          <w:rFonts w:ascii="Arial Narrow" w:hAnsi="Arial Narrow"/>
          <w:sz w:val="36"/>
          <w:szCs w:val="36"/>
        </w:rPr>
        <w:t>i</w:t>
      </w:r>
      <w:r>
        <w:rPr>
          <w:rFonts w:ascii="Arial Narrow" w:hAnsi="Arial Narrow"/>
          <w:sz w:val="36"/>
          <w:szCs w:val="36"/>
        </w:rPr>
        <w:t>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4"/>
      </w:tblGrid>
      <w:tr w:rsidR="008E51F0" w:rsidRPr="00917681" w:rsidTr="00AE7558">
        <w:tc>
          <w:tcPr>
            <w:tcW w:w="8414" w:type="dxa"/>
            <w:shd w:val="clear" w:color="auto" w:fill="95B3D7"/>
          </w:tcPr>
          <w:p w:rsidR="008E51F0" w:rsidRPr="00917681" w:rsidRDefault="008E51F0" w:rsidP="008E51F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Undertaking an appraisal or evaluation or establishing a monitoring framework involves a number of stages. </w:t>
            </w:r>
            <w:r w:rsidR="00454586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To ensure that all of these are followed this information sheet outlines in general terms what needs to be undertaken for each stage. </w:t>
            </w:r>
          </w:p>
        </w:tc>
      </w:tr>
    </w:tbl>
    <w:p w:rsidR="008E51F0" w:rsidRPr="00917681" w:rsidRDefault="008E51F0" w:rsidP="008E51F0">
      <w:pPr>
        <w:spacing w:after="0"/>
        <w:rPr>
          <w:rFonts w:ascii="Arial Narrow" w:hAnsi="Arial Narrow"/>
          <w:sz w:val="24"/>
          <w:szCs w:val="24"/>
        </w:rPr>
      </w:pPr>
    </w:p>
    <w:p w:rsidR="008E51F0" w:rsidRPr="00917681" w:rsidRDefault="008E51F0" w:rsidP="008E51F0">
      <w:pPr>
        <w:rPr>
          <w:rFonts w:ascii="Arial Narrow" w:hAnsi="Arial Narrow"/>
          <w:b/>
          <w:sz w:val="28"/>
          <w:szCs w:val="28"/>
        </w:rPr>
      </w:pPr>
      <w:r w:rsidRPr="00917681">
        <w:rPr>
          <w:rFonts w:ascii="Arial Narrow" w:hAnsi="Arial Narrow"/>
          <w:b/>
          <w:sz w:val="28"/>
          <w:szCs w:val="28"/>
        </w:rPr>
        <w:t>Why is it important?</w:t>
      </w:r>
    </w:p>
    <w:p w:rsidR="008E51F0" w:rsidRDefault="008E51F0" w:rsidP="008E51F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is important that, if appraisals and evaluations are to be done in a con</w:t>
      </w:r>
      <w:r w:rsidR="0045458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istent way, (and if monitoring frameworks are to provide the information that will inform an eventual evaluation) that the various technical stages involved in each process are followed. </w:t>
      </w:r>
      <w:r w:rsidR="0045458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This information sheet sets out in very broad terms the key elements of each stage. </w:t>
      </w:r>
    </w:p>
    <w:p w:rsidR="008E51F0" w:rsidRPr="00917681" w:rsidRDefault="008E51F0" w:rsidP="008E51F0">
      <w:pPr>
        <w:jc w:val="both"/>
        <w:rPr>
          <w:rFonts w:ascii="Arial Narrow" w:hAnsi="Arial Narrow"/>
          <w:b/>
          <w:sz w:val="28"/>
          <w:szCs w:val="28"/>
        </w:rPr>
      </w:pPr>
      <w:r w:rsidRPr="00917681">
        <w:rPr>
          <w:rFonts w:ascii="Arial Narrow" w:hAnsi="Arial Narrow"/>
          <w:b/>
          <w:sz w:val="28"/>
          <w:szCs w:val="28"/>
        </w:rPr>
        <w:t>Need more help?</w:t>
      </w:r>
    </w:p>
    <w:p w:rsidR="008E51F0" w:rsidRPr="00917681" w:rsidRDefault="008E51F0" w:rsidP="008E51F0">
      <w:pPr>
        <w:jc w:val="both"/>
        <w:rPr>
          <w:rFonts w:ascii="Arial Narrow" w:hAnsi="Arial Narrow"/>
          <w:sz w:val="24"/>
          <w:szCs w:val="24"/>
        </w:rPr>
      </w:pPr>
      <w:r w:rsidRPr="00917681">
        <w:rPr>
          <w:rFonts w:ascii="Arial Narrow" w:hAnsi="Arial Narrow"/>
          <w:sz w:val="24"/>
          <w:szCs w:val="24"/>
        </w:rPr>
        <w:t>For further information contact:-</w:t>
      </w:r>
    </w:p>
    <w:p w:rsidR="008E51F0" w:rsidRPr="00917681" w:rsidRDefault="008E51F0" w:rsidP="008E51F0">
      <w:pPr>
        <w:jc w:val="both"/>
        <w:rPr>
          <w:rFonts w:ascii="Arial Narrow" w:hAnsi="Arial Narrow"/>
          <w:sz w:val="24"/>
          <w:szCs w:val="24"/>
        </w:rPr>
      </w:pPr>
      <w:r w:rsidRPr="00917681">
        <w:rPr>
          <w:rFonts w:ascii="Arial Narrow" w:hAnsi="Arial Narrow"/>
          <w:sz w:val="24"/>
          <w:szCs w:val="24"/>
        </w:rPr>
        <w:t>Suzanne Fleming, 0141-228-2062</w:t>
      </w:r>
    </w:p>
    <w:p w:rsidR="008E51F0" w:rsidRPr="00917681" w:rsidRDefault="0040765D" w:rsidP="008E51F0">
      <w:pPr>
        <w:jc w:val="both"/>
        <w:rPr>
          <w:rFonts w:ascii="Arial Narrow" w:hAnsi="Arial Narrow"/>
          <w:b/>
        </w:rPr>
      </w:pPr>
      <w:hyperlink r:id="rId8" w:history="1">
        <w:r w:rsidR="008E51F0" w:rsidRPr="00917681">
          <w:rPr>
            <w:rStyle w:val="Hyperlink"/>
            <w:rFonts w:ascii="Arial Narrow" w:hAnsi="Arial Narrow"/>
            <w:sz w:val="24"/>
            <w:szCs w:val="24"/>
          </w:rPr>
          <w:t>Suzanne.fleming@scotent.co.uk</w:t>
        </w:r>
      </w:hyperlink>
    </w:p>
    <w:p w:rsidR="008E51F0" w:rsidRDefault="008E51F0">
      <w:pPr>
        <w:rPr>
          <w:rFonts w:ascii="Arial Narrow" w:hAnsi="Arial Narrow"/>
          <w:sz w:val="24"/>
          <w:szCs w:val="24"/>
        </w:rPr>
        <w:sectPr w:rsidR="008E51F0" w:rsidSect="008E51F0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E51F0" w:rsidRPr="00582672" w:rsidRDefault="008E51F0" w:rsidP="008E51F0">
      <w:pPr>
        <w:shd w:val="clear" w:color="auto" w:fill="339966"/>
        <w:jc w:val="both"/>
        <w:rPr>
          <w:rFonts w:ascii="Arial Narrow" w:hAnsi="Arial Narrow" w:cs="Arial"/>
          <w:b/>
          <w:color w:val="FFFFFF"/>
        </w:rPr>
      </w:pPr>
      <w:r w:rsidRPr="00582672">
        <w:rPr>
          <w:rFonts w:ascii="Arial Narrow" w:hAnsi="Arial Narrow" w:cs="Arial"/>
          <w:b/>
          <w:color w:val="FFFFFF"/>
        </w:rPr>
        <w:lastRenderedPageBreak/>
        <w:t>SUMMARY STEPS FOR APPRAISAL</w:t>
      </w:r>
    </w:p>
    <w:p w:rsidR="008E51F0" w:rsidRPr="00582672" w:rsidRDefault="008E51F0" w:rsidP="008E51F0">
      <w:pPr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Look w:val="01E0"/>
      </w:tblPr>
      <w:tblGrid>
        <w:gridCol w:w="4068"/>
        <w:gridCol w:w="6480"/>
        <w:gridCol w:w="1980"/>
      </w:tblGrid>
      <w:tr w:rsidR="008E51F0" w:rsidRPr="00582672" w:rsidTr="00AE7558">
        <w:tc>
          <w:tcPr>
            <w:tcW w:w="4068" w:type="dxa"/>
            <w:shd w:val="clear" w:color="auto" w:fill="339966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Step</w:t>
            </w:r>
          </w:p>
        </w:tc>
        <w:tc>
          <w:tcPr>
            <w:tcW w:w="6480" w:type="dxa"/>
            <w:shd w:val="clear" w:color="auto" w:fill="339966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Issues</w:t>
            </w:r>
          </w:p>
        </w:tc>
        <w:tc>
          <w:tcPr>
            <w:tcW w:w="1980" w:type="dxa"/>
            <w:shd w:val="clear" w:color="auto" w:fill="339966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Checked</w:t>
            </w:r>
          </w:p>
        </w:tc>
      </w:tr>
      <w:tr w:rsidR="008E51F0" w:rsidRPr="00582672" w:rsidTr="00AE7558">
        <w:tc>
          <w:tcPr>
            <w:tcW w:w="12528" w:type="dxa"/>
            <w:gridSpan w:val="3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Develop gross impact estimates</w:t>
            </w: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Time period set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an appropriate time period is set for the EIA</w:t>
            </w:r>
          </w:p>
          <w:p w:rsidR="008E51F0" w:rsidRPr="00582672" w:rsidRDefault="008E51F0" w:rsidP="008E51F0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a clear base year has been set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Annual impacts presented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all impacts are presented on an annual basis</w:t>
            </w:r>
          </w:p>
          <w:p w:rsidR="008E51F0" w:rsidRPr="00582672" w:rsidRDefault="008E51F0" w:rsidP="008E51F0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all impacts are discounted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Constant prices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impact values are presented in a consistent price basis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GVA method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method for assessing GVA has been clearly stated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Employment method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method for assessing jobs has been clearly stated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12528" w:type="dxa"/>
            <w:gridSpan w:val="3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Adjust for additionality</w:t>
            </w: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Deadweight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deadweight has been adjusted for</w:t>
            </w:r>
          </w:p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the range against appropriate benchmarks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Displacement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displacement has been adjusted for</w:t>
            </w:r>
          </w:p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the range against appropriate benchmarks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Leakage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leakage has been adjusted for</w:t>
            </w:r>
          </w:p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the range against appropriate benchmarks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Multipliers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multiplier has been adjusted for</w:t>
            </w:r>
          </w:p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that the multiplier is based on the appropriate sector</w:t>
            </w:r>
          </w:p>
          <w:p w:rsidR="008E51F0" w:rsidRPr="00582672" w:rsidRDefault="00454586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8E51F0" w:rsidRPr="00582672">
              <w:rPr>
                <w:rFonts w:ascii="Arial Narrow" w:hAnsi="Arial Narrow" w:cs="Arial"/>
                <w:sz w:val="22"/>
                <w:szCs w:val="22"/>
              </w:rPr>
              <w:t>heck the range against appropriate benchmarks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Optimism Bias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optimism bias has been adjusted for</w:t>
            </w:r>
          </w:p>
          <w:p w:rsidR="008E51F0" w:rsidRPr="00582672" w:rsidRDefault="008E51F0" w:rsidP="008E51F0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the method used to assess optimism bias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Use of standard template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the standard template has been used for additionality calculations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12528" w:type="dxa"/>
            <w:gridSpan w:val="3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Develop cost estimates</w:t>
            </w: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 xml:space="preserve">Annual SE Costs 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all appropriate SE costs have been collected and presented on an annual basis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Annual wider public sector costs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all appropriate wider costs have been collected and presented on an annual basis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Constant prices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all costs have been converted to a consistent price basis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lastRenderedPageBreak/>
              <w:t>Apportion Impacts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impacts are apportioned based on discounted costs across partners (where relevant)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Impact ratios for milestone years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milestone year impact investment ratios have been calculated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Cost per job for milestone years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milestone year cost per job estimates have been calculated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E51F0" w:rsidRPr="00582672" w:rsidRDefault="008E51F0" w:rsidP="008E51F0">
      <w:pPr>
        <w:jc w:val="both"/>
        <w:rPr>
          <w:rFonts w:ascii="Arial Narrow" w:hAnsi="Arial Narrow" w:cs="Arial"/>
        </w:rPr>
      </w:pPr>
    </w:p>
    <w:p w:rsidR="008E51F0" w:rsidRPr="00582672" w:rsidRDefault="008E51F0" w:rsidP="008E51F0">
      <w:pPr>
        <w:jc w:val="both"/>
        <w:rPr>
          <w:rFonts w:ascii="Arial Narrow" w:hAnsi="Arial Narrow" w:cs="Arial"/>
        </w:rPr>
        <w:sectPr w:rsidR="008E51F0" w:rsidRPr="00582672" w:rsidSect="0049269C">
          <w:pgSz w:w="16838" w:h="11906" w:orient="landscape"/>
          <w:pgMar w:top="1797" w:right="1440" w:bottom="1797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E51F0" w:rsidRPr="00582672" w:rsidRDefault="008E51F0" w:rsidP="008E51F0">
      <w:pPr>
        <w:shd w:val="clear" w:color="auto" w:fill="339966"/>
        <w:jc w:val="both"/>
        <w:rPr>
          <w:rFonts w:ascii="Arial Narrow" w:hAnsi="Arial Narrow" w:cs="Arial"/>
          <w:b/>
          <w:color w:val="FFFFFF"/>
        </w:rPr>
      </w:pPr>
      <w:r w:rsidRPr="00582672">
        <w:rPr>
          <w:rFonts w:ascii="Arial Narrow" w:hAnsi="Arial Narrow" w:cs="Arial"/>
          <w:b/>
          <w:color w:val="FFFFFF"/>
        </w:rPr>
        <w:lastRenderedPageBreak/>
        <w:t>SUMMARY STEPS FOR MONITORING</w:t>
      </w:r>
    </w:p>
    <w:p w:rsidR="008E51F0" w:rsidRPr="00582672" w:rsidRDefault="008E51F0" w:rsidP="008E51F0">
      <w:pPr>
        <w:jc w:val="both"/>
        <w:rPr>
          <w:rFonts w:ascii="Arial Narrow" w:hAnsi="Arial Narrow" w:cs="Arial"/>
        </w:rPr>
      </w:pPr>
    </w:p>
    <w:p w:rsidR="008E51F0" w:rsidRPr="00582672" w:rsidRDefault="008E51F0" w:rsidP="008E51F0">
      <w:pPr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Look w:val="01E0"/>
      </w:tblPr>
      <w:tblGrid>
        <w:gridCol w:w="4068"/>
        <w:gridCol w:w="6480"/>
        <w:gridCol w:w="1980"/>
      </w:tblGrid>
      <w:tr w:rsidR="008E51F0" w:rsidRPr="00582672" w:rsidTr="00AE7558">
        <w:tc>
          <w:tcPr>
            <w:tcW w:w="4068" w:type="dxa"/>
            <w:shd w:val="clear" w:color="auto" w:fill="339966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Step</w:t>
            </w:r>
          </w:p>
        </w:tc>
        <w:tc>
          <w:tcPr>
            <w:tcW w:w="6480" w:type="dxa"/>
            <w:shd w:val="clear" w:color="auto" w:fill="339966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Issues</w:t>
            </w:r>
          </w:p>
        </w:tc>
        <w:tc>
          <w:tcPr>
            <w:tcW w:w="1980" w:type="dxa"/>
            <w:shd w:val="clear" w:color="auto" w:fill="339966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Checked</w:t>
            </w: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that the objectives set for the intervention are SMART</w:t>
            </w:r>
          </w:p>
        </w:tc>
        <w:tc>
          <w:tcPr>
            <w:tcW w:w="64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that the objectives are capable of being monitored that is</w:t>
            </w:r>
            <w:r w:rsidR="00454586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they are </w:t>
            </w:r>
            <w:r w:rsidRPr="00A1042C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pecific, </w:t>
            </w:r>
            <w:r w:rsidRPr="00A1042C">
              <w:rPr>
                <w:rFonts w:ascii="Arial Narrow" w:hAnsi="Arial Narrow" w:cs="Arial"/>
                <w:b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easurable, </w:t>
            </w:r>
            <w:r w:rsidRPr="00A1042C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chieveable, </w:t>
            </w:r>
            <w:r w:rsidRPr="00A1042C">
              <w:rPr>
                <w:rFonts w:ascii="Arial Narrow" w:hAnsi="Arial Narrow" w:cs="Arial"/>
                <w:b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elevant and </w:t>
            </w:r>
            <w:r w:rsidRPr="00A1042C"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ime-bound  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that the objectives have fed into the stages of the Logic Model</w:t>
            </w:r>
          </w:p>
        </w:tc>
        <w:tc>
          <w:tcPr>
            <w:tcW w:w="64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 inputs, activities, outputs and outcomes and the ultimate impacts need to be influenced by the intervention’s objectives 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Develop suitable indicators</w:t>
            </w:r>
          </w:p>
        </w:tc>
        <w:tc>
          <w:tcPr>
            <w:tcW w:w="64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Indicators need to be defined for the stages of the logic model that will enable objectives to be measured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Define what is to be measured by each indicator</w:t>
            </w:r>
          </w:p>
        </w:tc>
        <w:tc>
          <w:tcPr>
            <w:tcW w:w="64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Specify for each indicator what is to be measured, by whom and at what time periods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that there is a reporting structure in place</w:t>
            </w:r>
          </w:p>
        </w:tc>
        <w:tc>
          <w:tcPr>
            <w:tcW w:w="64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As the data for each indicator is collected this needs to be fed back to management so that it is possible to undertake formative evaluation: changing the various stages of the logic model if it seems as if progress is not being made towards objective attainment.  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E51F0" w:rsidRPr="00582672" w:rsidRDefault="008E51F0" w:rsidP="008E51F0">
      <w:pPr>
        <w:jc w:val="both"/>
        <w:rPr>
          <w:rFonts w:ascii="Arial Narrow" w:hAnsi="Arial Narrow" w:cs="Arial"/>
        </w:rPr>
        <w:sectPr w:rsidR="008E51F0" w:rsidRPr="00582672" w:rsidSect="0049269C">
          <w:pgSz w:w="16838" w:h="11906" w:orient="landscape"/>
          <w:pgMar w:top="1797" w:right="1440" w:bottom="1797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E51F0" w:rsidRPr="00582672" w:rsidRDefault="008E51F0" w:rsidP="008E51F0">
      <w:pPr>
        <w:shd w:val="clear" w:color="auto" w:fill="339966"/>
        <w:jc w:val="both"/>
        <w:rPr>
          <w:rFonts w:ascii="Arial Narrow" w:hAnsi="Arial Narrow" w:cs="Arial"/>
          <w:b/>
          <w:color w:val="FFFFFF"/>
        </w:rPr>
      </w:pPr>
      <w:r w:rsidRPr="00582672">
        <w:rPr>
          <w:rFonts w:ascii="Arial Narrow" w:hAnsi="Arial Narrow" w:cs="Arial"/>
          <w:b/>
          <w:color w:val="FFFFFF"/>
        </w:rPr>
        <w:lastRenderedPageBreak/>
        <w:t>SUMMARY STEPS FOR EVALUATION</w:t>
      </w:r>
    </w:p>
    <w:p w:rsidR="008E51F0" w:rsidRPr="00582672" w:rsidRDefault="008E51F0" w:rsidP="008E51F0">
      <w:pPr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Look w:val="01E0"/>
      </w:tblPr>
      <w:tblGrid>
        <w:gridCol w:w="4068"/>
        <w:gridCol w:w="6480"/>
        <w:gridCol w:w="1980"/>
      </w:tblGrid>
      <w:tr w:rsidR="008E51F0" w:rsidRPr="00582672" w:rsidTr="00AE7558">
        <w:tc>
          <w:tcPr>
            <w:tcW w:w="4068" w:type="dxa"/>
            <w:shd w:val="clear" w:color="auto" w:fill="339966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Step</w:t>
            </w:r>
          </w:p>
        </w:tc>
        <w:tc>
          <w:tcPr>
            <w:tcW w:w="6480" w:type="dxa"/>
            <w:shd w:val="clear" w:color="auto" w:fill="339966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Issues</w:t>
            </w:r>
          </w:p>
        </w:tc>
        <w:tc>
          <w:tcPr>
            <w:tcW w:w="1980" w:type="dxa"/>
            <w:shd w:val="clear" w:color="auto" w:fill="339966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b/>
                <w:sz w:val="22"/>
                <w:szCs w:val="22"/>
              </w:rPr>
              <w:t>Checked</w:t>
            </w: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Rationale for intervention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rationale has been developed based on equity, efficiency or environmental rationale</w:t>
            </w:r>
          </w:p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efficiency rationale refers to the 4 Green Book  market failures (information failures, externalities, public goods, market power)</w:t>
            </w:r>
          </w:p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rationale is evidenced from primary research (including beneficiaries)</w:t>
            </w:r>
          </w:p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 xml:space="preserve">Check to see if there is comment on any changes to the rationale – if there </w:t>
            </w:r>
            <w:r w:rsidR="00454586">
              <w:rPr>
                <w:rFonts w:ascii="Arial Narrow" w:hAnsi="Arial Narrow" w:cs="Arial"/>
                <w:sz w:val="22"/>
                <w:szCs w:val="22"/>
              </w:rPr>
              <w:t>are</w:t>
            </w:r>
            <w:r w:rsidRPr="00582672">
              <w:rPr>
                <w:rFonts w:ascii="Arial Narrow" w:hAnsi="Arial Narrow" w:cs="Arial"/>
                <w:sz w:val="22"/>
                <w:szCs w:val="22"/>
              </w:rPr>
              <w:t xml:space="preserve"> signs of market adjustment or not</w:t>
            </w:r>
          </w:p>
          <w:p w:rsidR="008E51F0" w:rsidRPr="00582672" w:rsidRDefault="008E51F0" w:rsidP="008E51F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to see if the rationale is still valid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Strategic fit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fit with the policy environment has been considered – including core documents – Government Economic Strategy, SE Business plan and others as relevant – such as sector delivery plans, industry strategies, etc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Inputs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all SE costs have been identified</w:t>
            </w:r>
          </w:p>
          <w:p w:rsidR="008E51F0" w:rsidRPr="00582672" w:rsidRDefault="008E51F0" w:rsidP="008E51F0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all wider public sector costs have been identified</w:t>
            </w:r>
          </w:p>
          <w:p w:rsidR="008E51F0" w:rsidRPr="00582672" w:rsidRDefault="008E51F0" w:rsidP="008E51F0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all private sector costs have been identified</w:t>
            </w:r>
          </w:p>
          <w:p w:rsidR="008E51F0" w:rsidRPr="00582672" w:rsidRDefault="008E51F0" w:rsidP="008E51F0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all appropriate leverage ratios have been developed (SE to public, SE to Private, Public to private)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Activities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all SE activities that have been delivered have been considered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Linkages and dependencies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links with other SE support have been considered</w:t>
            </w:r>
          </w:p>
          <w:p w:rsidR="008E51F0" w:rsidRPr="00582672" w:rsidRDefault="008E51F0" w:rsidP="008E51F0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links with other provision have been considered</w:t>
            </w:r>
          </w:p>
          <w:p w:rsidR="008E51F0" w:rsidRPr="00582672" w:rsidRDefault="008E51F0" w:rsidP="008E51F0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for duplication or complementarities with other provision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Performance monitoring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review of monitoring systems have been considered</w:t>
            </w:r>
          </w:p>
          <w:p w:rsidR="008E51F0" w:rsidRPr="00582672" w:rsidRDefault="008E51F0" w:rsidP="008E51F0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monitoring data provides the required information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Usage, quality and demand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levels of usage</w:t>
            </w:r>
          </w:p>
          <w:p w:rsidR="008E51F0" w:rsidRPr="00582672" w:rsidRDefault="008E51F0" w:rsidP="008E51F0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satisfaction levels with support</w:t>
            </w:r>
          </w:p>
          <w:p w:rsidR="008E51F0" w:rsidRPr="00582672" w:rsidRDefault="008E51F0" w:rsidP="008E51F0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 xml:space="preserve">Check levels of demand have been in line with expectation (or not – </w:t>
            </w:r>
            <w:r w:rsidRPr="00582672">
              <w:rPr>
                <w:rFonts w:ascii="Arial Narrow" w:hAnsi="Arial Narrow" w:cs="Arial"/>
                <w:sz w:val="22"/>
                <w:szCs w:val="22"/>
              </w:rPr>
              <w:lastRenderedPageBreak/>
              <w:t>noting any reasons for variance)</w:t>
            </w:r>
          </w:p>
          <w:p w:rsidR="008E51F0" w:rsidRPr="00582672" w:rsidRDefault="008E51F0" w:rsidP="008E51F0">
            <w:pPr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if demand assessments have been completed and if they are still relevant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lastRenderedPageBreak/>
              <w:t>Outputs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that outputs have been captured and correctly labelled</w:t>
            </w:r>
          </w:p>
          <w:p w:rsidR="008E51F0" w:rsidRPr="00582672" w:rsidRDefault="008E51F0" w:rsidP="008E51F0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Consider the extent to which these flow through to outcomes and possibly impact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Outcomes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 xml:space="preserve">Check that outcomes have been captured and correctly labelled </w:t>
            </w:r>
          </w:p>
          <w:p w:rsidR="008E51F0" w:rsidRPr="00582672" w:rsidRDefault="008E51F0" w:rsidP="008E51F0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Consider the extent to which these flow through to impact, and/or have come from outputs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Progress against targets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performance against targets and draw out any reasons for variance (both over or under performance)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Impacts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impact assessment has collected impact variables in line with best practice</w:t>
            </w:r>
          </w:p>
          <w:p w:rsidR="008E51F0" w:rsidRPr="00582672" w:rsidRDefault="008E51F0" w:rsidP="008E51F0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additionality calculations have been collected and used in line with best practice</w:t>
            </w:r>
          </w:p>
          <w:p w:rsidR="008E51F0" w:rsidRPr="00582672" w:rsidRDefault="008E51F0" w:rsidP="008E51F0">
            <w:pPr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Ensure all costs and impacts are presented on an annual basis and discounted appropriately over time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Value for Money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that economy (cost of inputs) has been considered</w:t>
            </w:r>
          </w:p>
          <w:p w:rsidR="008E51F0" w:rsidRPr="00582672" w:rsidRDefault="008E51F0" w:rsidP="008E51F0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that efficiency (inputs leading to desired output) have been considered</w:t>
            </w:r>
          </w:p>
          <w:p w:rsidR="008E51F0" w:rsidRPr="00582672" w:rsidRDefault="008E51F0" w:rsidP="008E51F0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that effectiveness (outputs leading to outcomes and/or impacts) has been considered</w:t>
            </w:r>
          </w:p>
          <w:p w:rsidR="008E51F0" w:rsidRPr="00582672" w:rsidRDefault="008E51F0" w:rsidP="008E51F0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all benchmarks are appropriate and fair</w:t>
            </w:r>
          </w:p>
          <w:p w:rsidR="008E51F0" w:rsidRPr="00582672" w:rsidRDefault="008E51F0" w:rsidP="008E51F0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that all three variables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(economy, efficiency and effectiveness)</w:t>
            </w:r>
            <w:r w:rsidRPr="00582672">
              <w:rPr>
                <w:rFonts w:ascii="Arial Narrow" w:hAnsi="Arial Narrow" w:cs="Arial"/>
                <w:sz w:val="22"/>
                <w:szCs w:val="22"/>
              </w:rPr>
              <w:t xml:space="preserve"> have been considered and </w:t>
            </w:r>
            <w:r w:rsidR="00D345AD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Pr="00582672">
              <w:rPr>
                <w:rFonts w:ascii="Arial Narrow" w:hAnsi="Arial Narrow" w:cs="Arial"/>
                <w:sz w:val="22"/>
                <w:szCs w:val="22"/>
              </w:rPr>
              <w:t>overall view on value for money articulated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E51F0" w:rsidRPr="00582672" w:rsidTr="00AE7558">
        <w:tc>
          <w:tcPr>
            <w:tcW w:w="4068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Key Learning</w:t>
            </w:r>
          </w:p>
        </w:tc>
        <w:tc>
          <w:tcPr>
            <w:tcW w:w="6480" w:type="dxa"/>
          </w:tcPr>
          <w:p w:rsidR="008E51F0" w:rsidRPr="00582672" w:rsidRDefault="008E51F0" w:rsidP="008E51F0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672">
              <w:rPr>
                <w:rFonts w:ascii="Arial Narrow" w:hAnsi="Arial Narrow" w:cs="Arial"/>
                <w:sz w:val="22"/>
                <w:szCs w:val="22"/>
              </w:rPr>
              <w:t>Check key learning has been draw</w:t>
            </w:r>
            <w:r w:rsidR="00535531"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582672">
              <w:rPr>
                <w:rFonts w:ascii="Arial Narrow" w:hAnsi="Arial Narrow" w:cs="Arial"/>
                <w:sz w:val="22"/>
                <w:szCs w:val="22"/>
              </w:rPr>
              <w:t xml:space="preserve"> out both for the project and other similar provision</w:t>
            </w:r>
          </w:p>
        </w:tc>
        <w:tc>
          <w:tcPr>
            <w:tcW w:w="1980" w:type="dxa"/>
          </w:tcPr>
          <w:p w:rsidR="008E51F0" w:rsidRPr="00582672" w:rsidRDefault="008E51F0" w:rsidP="00AE75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E51F0" w:rsidRPr="00582672" w:rsidRDefault="008E51F0" w:rsidP="008E51F0">
      <w:pPr>
        <w:jc w:val="both"/>
        <w:rPr>
          <w:rFonts w:ascii="Arial Narrow" w:hAnsi="Arial Narrow" w:cs="Arial"/>
        </w:rPr>
      </w:pPr>
    </w:p>
    <w:p w:rsidR="008E51F0" w:rsidRPr="00582672" w:rsidRDefault="008E51F0" w:rsidP="008E51F0">
      <w:pPr>
        <w:jc w:val="both"/>
        <w:rPr>
          <w:rFonts w:ascii="Arial Narrow" w:hAnsi="Arial Narrow" w:cs="Arial"/>
        </w:rPr>
      </w:pPr>
    </w:p>
    <w:p w:rsidR="008E51F0" w:rsidRDefault="008E51F0">
      <w:pPr>
        <w:rPr>
          <w:rFonts w:ascii="Arial Narrow" w:hAnsi="Arial Narrow"/>
          <w:sz w:val="24"/>
          <w:szCs w:val="24"/>
        </w:rPr>
      </w:pPr>
    </w:p>
    <w:sectPr w:rsidR="008E51F0" w:rsidSect="0049269C">
      <w:pgSz w:w="16838" w:h="11906" w:orient="landscape"/>
      <w:pgMar w:top="1797" w:right="1440" w:bottom="179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D5" w:rsidRDefault="00A931D5" w:rsidP="00A931D5">
      <w:pPr>
        <w:spacing w:after="0" w:line="240" w:lineRule="auto"/>
      </w:pPr>
      <w:r>
        <w:separator/>
      </w:r>
    </w:p>
  </w:endnote>
  <w:endnote w:type="continuationSeparator" w:id="0">
    <w:p w:rsidR="00A931D5" w:rsidRDefault="00A931D5" w:rsidP="00A9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6282"/>
      <w:docPartObj>
        <w:docPartGallery w:val="Page Numbers (Bottom of Page)"/>
        <w:docPartUnique/>
      </w:docPartObj>
    </w:sdtPr>
    <w:sdtContent>
      <w:p w:rsidR="00981221" w:rsidRDefault="00981221" w:rsidP="00981221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hAnsiTheme="majorHAnsi"/>
            <w:sz w:val="16"/>
            <w:szCs w:val="16"/>
          </w:rPr>
        </w:pPr>
        <w:r>
          <w:rPr>
            <w:rFonts w:ascii="Arial Narrow" w:hAnsi="Arial Narrow"/>
            <w:i/>
            <w:sz w:val="16"/>
            <w:szCs w:val="16"/>
          </w:rPr>
          <w:t>January 2014</w:t>
        </w:r>
        <w:r>
          <w:rPr>
            <w:rFonts w:ascii="Arial Narrow" w:hAnsi="Arial Narrow"/>
            <w:i/>
            <w:sz w:val="16"/>
            <w:szCs w:val="16"/>
          </w:rPr>
          <w:ptab w:relativeTo="margin" w:alignment="right" w:leader="none"/>
        </w:r>
        <w:r>
          <w:rPr>
            <w:rFonts w:ascii="Arial Narrow" w:hAnsi="Arial Narrow"/>
            <w:i/>
            <w:sz w:val="16"/>
            <w:szCs w:val="16"/>
          </w:rPr>
          <w:t xml:space="preserve"> </w:t>
        </w:r>
        <w:fldSimple w:instr=" PAGE   \* MERGEFORMAT ">
          <w:r w:rsidR="00D345AD" w:rsidRPr="00D345AD">
            <w:rPr>
              <w:rFonts w:asciiTheme="majorHAnsi" w:hAnsiTheme="majorHAnsi"/>
              <w:noProof/>
            </w:rPr>
            <w:t>6</w:t>
          </w:r>
        </w:fldSimple>
      </w:p>
      <w:p w:rsidR="00706D47" w:rsidRDefault="0040765D">
        <w:pPr>
          <w:pStyle w:val="Footer"/>
          <w:jc w:val="right"/>
        </w:pPr>
      </w:p>
    </w:sdtContent>
  </w:sdt>
  <w:p w:rsidR="00A931D5" w:rsidRDefault="00A93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D5" w:rsidRDefault="00A931D5" w:rsidP="00A931D5">
      <w:pPr>
        <w:spacing w:after="0" w:line="240" w:lineRule="auto"/>
      </w:pPr>
      <w:r>
        <w:separator/>
      </w:r>
    </w:p>
  </w:footnote>
  <w:footnote w:type="continuationSeparator" w:id="0">
    <w:p w:rsidR="00A931D5" w:rsidRDefault="00A931D5" w:rsidP="00A9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0E" w:rsidRPr="00AE590E" w:rsidRDefault="00AE590E">
    <w:pPr>
      <w:pStyle w:val="Header"/>
      <w:rPr>
        <w:rFonts w:ascii="Arial Narrow" w:hAnsi="Arial Narrow"/>
        <w:i/>
        <w:sz w:val="16"/>
        <w:szCs w:val="16"/>
      </w:rPr>
    </w:pPr>
    <w:r w:rsidRPr="00AE590E">
      <w:rPr>
        <w:rFonts w:ascii="Arial Narrow" w:hAnsi="Arial Narrow"/>
        <w:i/>
        <w:sz w:val="16"/>
        <w:szCs w:val="16"/>
      </w:rPr>
      <w:t>Scottish Enterprise Economic Impact Guidance</w:t>
    </w:r>
  </w:p>
  <w:p w:rsidR="00A931D5" w:rsidRDefault="00A93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6AD"/>
    <w:multiLevelType w:val="hybridMultilevel"/>
    <w:tmpl w:val="ED4E566A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2A16E78"/>
    <w:multiLevelType w:val="hybridMultilevel"/>
    <w:tmpl w:val="DA162FB6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5365222"/>
    <w:multiLevelType w:val="hybridMultilevel"/>
    <w:tmpl w:val="2FAC62C4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283353E6"/>
    <w:multiLevelType w:val="hybridMultilevel"/>
    <w:tmpl w:val="BF56C7FE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2B4F209A"/>
    <w:multiLevelType w:val="hybridMultilevel"/>
    <w:tmpl w:val="C9344380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2BA75774"/>
    <w:multiLevelType w:val="hybridMultilevel"/>
    <w:tmpl w:val="9AA2BFE0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48EF4277"/>
    <w:multiLevelType w:val="hybridMultilevel"/>
    <w:tmpl w:val="11F0A02C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4F024241"/>
    <w:multiLevelType w:val="hybridMultilevel"/>
    <w:tmpl w:val="244AAB26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5CE46D4C"/>
    <w:multiLevelType w:val="hybridMultilevel"/>
    <w:tmpl w:val="8536D80C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737F1CBB"/>
    <w:multiLevelType w:val="hybridMultilevel"/>
    <w:tmpl w:val="8D66E2B8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75BC0C6D"/>
    <w:multiLevelType w:val="hybridMultilevel"/>
    <w:tmpl w:val="E6222844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7C580D36"/>
    <w:multiLevelType w:val="hybridMultilevel"/>
    <w:tmpl w:val="71A07E0C"/>
    <w:lvl w:ilvl="0" w:tplc="79808B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1F0"/>
    <w:rsid w:val="00291E48"/>
    <w:rsid w:val="002B4B6D"/>
    <w:rsid w:val="0040765D"/>
    <w:rsid w:val="00454586"/>
    <w:rsid w:val="00535531"/>
    <w:rsid w:val="00706D47"/>
    <w:rsid w:val="008E51F0"/>
    <w:rsid w:val="00981221"/>
    <w:rsid w:val="00A931D5"/>
    <w:rsid w:val="00AE590E"/>
    <w:rsid w:val="00B031A0"/>
    <w:rsid w:val="00B748AD"/>
    <w:rsid w:val="00C54746"/>
    <w:rsid w:val="00D04185"/>
    <w:rsid w:val="00D345AD"/>
    <w:rsid w:val="00E12934"/>
    <w:rsid w:val="00FA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F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51F0"/>
    <w:pPr>
      <w:spacing w:before="24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1F0"/>
    <w:rPr>
      <w:rFonts w:ascii="Calibri" w:eastAsia="Calibri" w:hAnsi="Calibri" w:cs="Times New Roman"/>
      <w:b/>
      <w:sz w:val="40"/>
      <w:szCs w:val="40"/>
    </w:rPr>
  </w:style>
  <w:style w:type="character" w:styleId="Hyperlink">
    <w:name w:val="Hyperlink"/>
    <w:basedOn w:val="DefaultParagraphFont"/>
    <w:rsid w:val="008E51F0"/>
    <w:rPr>
      <w:color w:val="0000FF"/>
      <w:u w:val="single"/>
    </w:rPr>
  </w:style>
  <w:style w:type="table" w:styleId="TableGrid">
    <w:name w:val="Table Grid"/>
    <w:basedOn w:val="TableNormal"/>
    <w:rsid w:val="008E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3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fleming@scoten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651DCC-4CC5-4638-A413-3543D9B1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Enterprise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hayton</dc:creator>
  <cp:keywords/>
  <dc:description/>
  <cp:lastModifiedBy>perrys</cp:lastModifiedBy>
  <cp:revision>8</cp:revision>
  <dcterms:created xsi:type="dcterms:W3CDTF">2014-01-15T16:10:00Z</dcterms:created>
  <dcterms:modified xsi:type="dcterms:W3CDTF">2014-01-22T09:32:00Z</dcterms:modified>
</cp:coreProperties>
</file>