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BC33" w14:textId="77777777" w:rsidR="00356E8A" w:rsidRPr="005004B7" w:rsidRDefault="00356E8A" w:rsidP="00356E8A">
      <w:pPr>
        <w:pStyle w:val="Title"/>
        <w:jc w:val="right"/>
      </w:pPr>
      <w:r w:rsidRPr="005004B7">
        <w:t>Statistical Innovation and Capacity Building in the Pacific Islands Project (PACSTAT)</w:t>
      </w:r>
    </w:p>
    <w:p w14:paraId="739FCD23" w14:textId="77777777" w:rsidR="00356E8A" w:rsidRPr="00356E8A" w:rsidRDefault="00356E8A" w:rsidP="00356E8A">
      <w:pPr>
        <w:jc w:val="right"/>
        <w:rPr>
          <w:b/>
        </w:rPr>
      </w:pPr>
    </w:p>
    <w:p w14:paraId="548DA509" w14:textId="18F7AC09" w:rsidR="00356E8A" w:rsidRPr="005004B7" w:rsidRDefault="00356E8A" w:rsidP="005004B7">
      <w:pPr>
        <w:pStyle w:val="Title"/>
        <w:jc w:val="right"/>
        <w:rPr>
          <w:b/>
        </w:rPr>
      </w:pPr>
      <w:r w:rsidRPr="005004B7">
        <w:rPr>
          <w:b/>
        </w:rPr>
        <w:t>202</w:t>
      </w:r>
      <w:r w:rsidR="005E696E">
        <w:rPr>
          <w:b/>
        </w:rPr>
        <w:t>2</w:t>
      </w:r>
      <w:r w:rsidRPr="005004B7">
        <w:rPr>
          <w:b/>
        </w:rPr>
        <w:t xml:space="preserve"> </w:t>
      </w:r>
      <w:r w:rsidR="00F157D5" w:rsidRPr="005004B7">
        <w:rPr>
          <w:b/>
        </w:rPr>
        <w:t>ANNUAL WORK PLAN</w:t>
      </w:r>
    </w:p>
    <w:p w14:paraId="590124B5" w14:textId="77777777" w:rsidR="005004B7" w:rsidRDefault="005004B7" w:rsidP="00F157D5">
      <w:pPr>
        <w:jc w:val="right"/>
      </w:pPr>
      <w:r w:rsidRPr="005004B7">
        <w:t>GRANT NUMBER D544 [P168122]</w:t>
      </w:r>
    </w:p>
    <w:p w14:paraId="1BEA16D0" w14:textId="612B66E4" w:rsidR="004D5DC5" w:rsidRDefault="005E696E" w:rsidP="00F157D5">
      <w:pPr>
        <w:jc w:val="right"/>
      </w:pPr>
      <w:r>
        <w:t>15 November</w:t>
      </w:r>
      <w:r w:rsidR="00F157D5">
        <w:t xml:space="preserve"> 2021</w:t>
      </w:r>
    </w:p>
    <w:p w14:paraId="7E79E1FB" w14:textId="591716C9" w:rsidR="001314ED" w:rsidRDefault="001314ED" w:rsidP="00F157D5">
      <w:pPr>
        <w:jc w:val="right"/>
      </w:pPr>
      <w:r>
        <w:t>Version 1</w:t>
      </w:r>
    </w:p>
    <w:p w14:paraId="2650C883" w14:textId="77777777" w:rsidR="00F157D5" w:rsidRDefault="00F157D5" w:rsidP="00F157D5">
      <w:pPr>
        <w:jc w:val="right"/>
      </w:pPr>
    </w:p>
    <w:sdt>
      <w:sdtPr>
        <w:rPr>
          <w:rFonts w:asciiTheme="minorHAnsi" w:eastAsiaTheme="minorHAnsi" w:hAnsiTheme="minorHAnsi" w:cstheme="minorBidi"/>
          <w:color w:val="auto"/>
          <w:sz w:val="22"/>
          <w:szCs w:val="22"/>
          <w:lang w:val="en-AU"/>
        </w:rPr>
        <w:id w:val="1223553475"/>
        <w:docPartObj>
          <w:docPartGallery w:val="Table of Contents"/>
          <w:docPartUnique/>
        </w:docPartObj>
      </w:sdtPr>
      <w:sdtEndPr>
        <w:rPr>
          <w:b/>
          <w:bCs/>
          <w:noProof/>
        </w:rPr>
      </w:sdtEndPr>
      <w:sdtContent>
        <w:p w14:paraId="04290A2F" w14:textId="77777777" w:rsidR="005004B7" w:rsidRDefault="005004B7">
          <w:pPr>
            <w:pStyle w:val="TOCHeading"/>
          </w:pPr>
          <w:r w:rsidRPr="008656B2">
            <w:t>Contents</w:t>
          </w:r>
        </w:p>
        <w:p w14:paraId="2BAB0DC9" w14:textId="02859238" w:rsidR="008656B2" w:rsidRDefault="005004B7" w:rsidP="008656B2">
          <w:pPr>
            <w:pStyle w:val="TOC1"/>
            <w:tabs>
              <w:tab w:val="right" w:leader="dot" w:pos="10076"/>
            </w:tabs>
            <w:spacing w:after="0"/>
            <w:rPr>
              <w:rFonts w:eastAsiaTheme="minorEastAsia"/>
              <w:noProof/>
              <w:lang w:eastAsia="en-AU"/>
            </w:rPr>
          </w:pPr>
          <w:r>
            <w:fldChar w:fldCharType="begin"/>
          </w:r>
          <w:r>
            <w:instrText xml:space="preserve"> TOC \o "1-3" \h \z \u </w:instrText>
          </w:r>
          <w:r>
            <w:fldChar w:fldCharType="separate"/>
          </w:r>
          <w:hyperlink w:anchor="_Toc88030653" w:history="1">
            <w:r w:rsidR="008656B2" w:rsidRPr="00546C36">
              <w:rPr>
                <w:rStyle w:val="Hyperlink"/>
                <w:noProof/>
              </w:rPr>
              <w:t>2022 Annual Work Plan Summary</w:t>
            </w:r>
            <w:r w:rsidR="008656B2">
              <w:rPr>
                <w:noProof/>
                <w:webHidden/>
              </w:rPr>
              <w:tab/>
            </w:r>
            <w:r w:rsidR="008656B2">
              <w:rPr>
                <w:noProof/>
                <w:webHidden/>
              </w:rPr>
              <w:fldChar w:fldCharType="begin"/>
            </w:r>
            <w:r w:rsidR="008656B2">
              <w:rPr>
                <w:noProof/>
                <w:webHidden/>
              </w:rPr>
              <w:instrText xml:space="preserve"> PAGEREF _Toc88030653 \h </w:instrText>
            </w:r>
            <w:r w:rsidR="008656B2">
              <w:rPr>
                <w:noProof/>
                <w:webHidden/>
              </w:rPr>
            </w:r>
            <w:r w:rsidR="008656B2">
              <w:rPr>
                <w:noProof/>
                <w:webHidden/>
              </w:rPr>
              <w:fldChar w:fldCharType="separate"/>
            </w:r>
            <w:r w:rsidR="008656B2">
              <w:rPr>
                <w:noProof/>
                <w:webHidden/>
              </w:rPr>
              <w:t>2</w:t>
            </w:r>
            <w:r w:rsidR="008656B2">
              <w:rPr>
                <w:noProof/>
                <w:webHidden/>
              </w:rPr>
              <w:fldChar w:fldCharType="end"/>
            </w:r>
          </w:hyperlink>
        </w:p>
        <w:p w14:paraId="5C3CA6C5" w14:textId="16DB3EA2" w:rsidR="008656B2" w:rsidRDefault="000E5410" w:rsidP="008656B2">
          <w:pPr>
            <w:pStyle w:val="TOC1"/>
            <w:tabs>
              <w:tab w:val="right" w:leader="dot" w:pos="10076"/>
            </w:tabs>
            <w:spacing w:after="0"/>
            <w:rPr>
              <w:rFonts w:eastAsiaTheme="minorEastAsia"/>
              <w:noProof/>
              <w:lang w:eastAsia="en-AU"/>
            </w:rPr>
          </w:pPr>
          <w:hyperlink w:anchor="_Toc88030654" w:history="1">
            <w:r w:rsidR="008656B2" w:rsidRPr="00546C36">
              <w:rPr>
                <w:rStyle w:val="Hyperlink"/>
                <w:noProof/>
              </w:rPr>
              <w:t>2022 AWP key reference document</w:t>
            </w:r>
            <w:r w:rsidR="008656B2">
              <w:rPr>
                <w:noProof/>
                <w:webHidden/>
              </w:rPr>
              <w:tab/>
            </w:r>
            <w:r w:rsidR="008656B2">
              <w:rPr>
                <w:noProof/>
                <w:webHidden/>
              </w:rPr>
              <w:fldChar w:fldCharType="begin"/>
            </w:r>
            <w:r w:rsidR="008656B2">
              <w:rPr>
                <w:noProof/>
                <w:webHidden/>
              </w:rPr>
              <w:instrText xml:space="preserve"> PAGEREF _Toc88030654 \h </w:instrText>
            </w:r>
            <w:r w:rsidR="008656B2">
              <w:rPr>
                <w:noProof/>
                <w:webHidden/>
              </w:rPr>
            </w:r>
            <w:r w:rsidR="008656B2">
              <w:rPr>
                <w:noProof/>
                <w:webHidden/>
              </w:rPr>
              <w:fldChar w:fldCharType="separate"/>
            </w:r>
            <w:r w:rsidR="008656B2">
              <w:rPr>
                <w:noProof/>
                <w:webHidden/>
              </w:rPr>
              <w:t>3</w:t>
            </w:r>
            <w:r w:rsidR="008656B2">
              <w:rPr>
                <w:noProof/>
                <w:webHidden/>
              </w:rPr>
              <w:fldChar w:fldCharType="end"/>
            </w:r>
          </w:hyperlink>
        </w:p>
        <w:p w14:paraId="1DD6A9BD" w14:textId="06F817E5" w:rsidR="008656B2" w:rsidRDefault="000E5410" w:rsidP="008656B2">
          <w:pPr>
            <w:pStyle w:val="TOC1"/>
            <w:tabs>
              <w:tab w:val="right" w:leader="dot" w:pos="10076"/>
            </w:tabs>
            <w:spacing w:after="0"/>
            <w:rPr>
              <w:rFonts w:eastAsiaTheme="minorEastAsia"/>
              <w:noProof/>
              <w:lang w:eastAsia="en-AU"/>
            </w:rPr>
          </w:pPr>
          <w:hyperlink w:anchor="_Toc88030655" w:history="1">
            <w:r w:rsidR="008656B2" w:rsidRPr="00546C36">
              <w:rPr>
                <w:rStyle w:val="Hyperlink"/>
                <w:noProof/>
              </w:rPr>
              <w:t>2022 key project activities and identification of deliverables</w:t>
            </w:r>
            <w:r w:rsidR="008656B2">
              <w:rPr>
                <w:noProof/>
                <w:webHidden/>
              </w:rPr>
              <w:tab/>
            </w:r>
            <w:r w:rsidR="008656B2">
              <w:rPr>
                <w:noProof/>
                <w:webHidden/>
              </w:rPr>
              <w:fldChar w:fldCharType="begin"/>
            </w:r>
            <w:r w:rsidR="008656B2">
              <w:rPr>
                <w:noProof/>
                <w:webHidden/>
              </w:rPr>
              <w:instrText xml:space="preserve"> PAGEREF _Toc88030655 \h </w:instrText>
            </w:r>
            <w:r w:rsidR="008656B2">
              <w:rPr>
                <w:noProof/>
                <w:webHidden/>
              </w:rPr>
            </w:r>
            <w:r w:rsidR="008656B2">
              <w:rPr>
                <w:noProof/>
                <w:webHidden/>
              </w:rPr>
              <w:fldChar w:fldCharType="separate"/>
            </w:r>
            <w:r w:rsidR="008656B2">
              <w:rPr>
                <w:noProof/>
                <w:webHidden/>
              </w:rPr>
              <w:t>3</w:t>
            </w:r>
            <w:r w:rsidR="008656B2">
              <w:rPr>
                <w:noProof/>
                <w:webHidden/>
              </w:rPr>
              <w:fldChar w:fldCharType="end"/>
            </w:r>
          </w:hyperlink>
        </w:p>
        <w:p w14:paraId="4F3A66CA" w14:textId="4332D6CA" w:rsidR="008656B2" w:rsidRDefault="000E5410" w:rsidP="008656B2">
          <w:pPr>
            <w:pStyle w:val="TOC2"/>
            <w:tabs>
              <w:tab w:val="right" w:leader="dot" w:pos="10076"/>
            </w:tabs>
            <w:spacing w:after="0"/>
            <w:rPr>
              <w:rFonts w:eastAsiaTheme="minorEastAsia"/>
              <w:noProof/>
              <w:lang w:eastAsia="en-AU"/>
            </w:rPr>
          </w:pPr>
          <w:hyperlink w:anchor="_Toc88030656" w:history="1">
            <w:r w:rsidR="008656B2" w:rsidRPr="00546C36">
              <w:rPr>
                <w:rStyle w:val="Hyperlink"/>
                <w:noProof/>
              </w:rPr>
              <w:t>Component 1: Pacific Statistics Methods Board (PSMB)</w:t>
            </w:r>
            <w:r w:rsidR="008656B2">
              <w:rPr>
                <w:noProof/>
                <w:webHidden/>
              </w:rPr>
              <w:tab/>
            </w:r>
            <w:r w:rsidR="008656B2">
              <w:rPr>
                <w:noProof/>
                <w:webHidden/>
              </w:rPr>
              <w:fldChar w:fldCharType="begin"/>
            </w:r>
            <w:r w:rsidR="008656B2">
              <w:rPr>
                <w:noProof/>
                <w:webHidden/>
              </w:rPr>
              <w:instrText xml:space="preserve"> PAGEREF _Toc88030656 \h </w:instrText>
            </w:r>
            <w:r w:rsidR="008656B2">
              <w:rPr>
                <w:noProof/>
                <w:webHidden/>
              </w:rPr>
            </w:r>
            <w:r w:rsidR="008656B2">
              <w:rPr>
                <w:noProof/>
                <w:webHidden/>
              </w:rPr>
              <w:fldChar w:fldCharType="separate"/>
            </w:r>
            <w:r w:rsidR="008656B2">
              <w:rPr>
                <w:noProof/>
                <w:webHidden/>
              </w:rPr>
              <w:t>3</w:t>
            </w:r>
            <w:r w:rsidR="008656B2">
              <w:rPr>
                <w:noProof/>
                <w:webHidden/>
              </w:rPr>
              <w:fldChar w:fldCharType="end"/>
            </w:r>
          </w:hyperlink>
        </w:p>
        <w:p w14:paraId="0E8636E4" w14:textId="55A920B9" w:rsidR="008656B2" w:rsidRDefault="000E5410" w:rsidP="008656B2">
          <w:pPr>
            <w:pStyle w:val="TOC3"/>
            <w:tabs>
              <w:tab w:val="right" w:leader="dot" w:pos="10076"/>
            </w:tabs>
            <w:spacing w:after="0"/>
            <w:rPr>
              <w:rFonts w:eastAsiaTheme="minorEastAsia"/>
              <w:noProof/>
              <w:lang w:eastAsia="en-AU"/>
            </w:rPr>
          </w:pPr>
          <w:hyperlink w:anchor="_Toc88030657" w:history="1">
            <w:r w:rsidR="008656B2" w:rsidRPr="00546C36">
              <w:rPr>
                <w:rStyle w:val="Hyperlink"/>
                <w:noProof/>
              </w:rPr>
              <w:t>Sub-component 1.1: PSMB Technical Support &amp; Administration</w:t>
            </w:r>
            <w:r w:rsidR="008656B2">
              <w:rPr>
                <w:noProof/>
                <w:webHidden/>
              </w:rPr>
              <w:tab/>
            </w:r>
            <w:r w:rsidR="008656B2">
              <w:rPr>
                <w:noProof/>
                <w:webHidden/>
              </w:rPr>
              <w:fldChar w:fldCharType="begin"/>
            </w:r>
            <w:r w:rsidR="008656B2">
              <w:rPr>
                <w:noProof/>
                <w:webHidden/>
              </w:rPr>
              <w:instrText xml:space="preserve"> PAGEREF _Toc88030657 \h </w:instrText>
            </w:r>
            <w:r w:rsidR="008656B2">
              <w:rPr>
                <w:noProof/>
                <w:webHidden/>
              </w:rPr>
            </w:r>
            <w:r w:rsidR="008656B2">
              <w:rPr>
                <w:noProof/>
                <w:webHidden/>
              </w:rPr>
              <w:fldChar w:fldCharType="separate"/>
            </w:r>
            <w:r w:rsidR="008656B2">
              <w:rPr>
                <w:noProof/>
                <w:webHidden/>
              </w:rPr>
              <w:t>3</w:t>
            </w:r>
            <w:r w:rsidR="008656B2">
              <w:rPr>
                <w:noProof/>
                <w:webHidden/>
              </w:rPr>
              <w:fldChar w:fldCharType="end"/>
            </w:r>
          </w:hyperlink>
        </w:p>
        <w:p w14:paraId="4DF484B2" w14:textId="7DBA5D02" w:rsidR="008656B2" w:rsidRDefault="000E5410" w:rsidP="008656B2">
          <w:pPr>
            <w:pStyle w:val="TOC3"/>
            <w:tabs>
              <w:tab w:val="right" w:leader="dot" w:pos="10076"/>
            </w:tabs>
            <w:spacing w:after="0"/>
            <w:rPr>
              <w:rFonts w:eastAsiaTheme="minorEastAsia"/>
              <w:noProof/>
              <w:lang w:eastAsia="en-AU"/>
            </w:rPr>
          </w:pPr>
          <w:hyperlink w:anchor="_Toc88030658" w:history="1">
            <w:r w:rsidR="008656B2" w:rsidRPr="00546C36">
              <w:rPr>
                <w:rStyle w:val="Hyperlink"/>
                <w:noProof/>
              </w:rPr>
              <w:t>Sub-component 1.2: Dissemination &amp; Training</w:t>
            </w:r>
            <w:r w:rsidR="008656B2">
              <w:rPr>
                <w:noProof/>
                <w:webHidden/>
              </w:rPr>
              <w:tab/>
            </w:r>
            <w:r w:rsidR="008656B2">
              <w:rPr>
                <w:noProof/>
                <w:webHidden/>
              </w:rPr>
              <w:fldChar w:fldCharType="begin"/>
            </w:r>
            <w:r w:rsidR="008656B2">
              <w:rPr>
                <w:noProof/>
                <w:webHidden/>
              </w:rPr>
              <w:instrText xml:space="preserve"> PAGEREF _Toc88030658 \h </w:instrText>
            </w:r>
            <w:r w:rsidR="008656B2">
              <w:rPr>
                <w:noProof/>
                <w:webHidden/>
              </w:rPr>
            </w:r>
            <w:r w:rsidR="008656B2">
              <w:rPr>
                <w:noProof/>
                <w:webHidden/>
              </w:rPr>
              <w:fldChar w:fldCharType="separate"/>
            </w:r>
            <w:r w:rsidR="008656B2">
              <w:rPr>
                <w:noProof/>
                <w:webHidden/>
              </w:rPr>
              <w:t>4</w:t>
            </w:r>
            <w:r w:rsidR="008656B2">
              <w:rPr>
                <w:noProof/>
                <w:webHidden/>
              </w:rPr>
              <w:fldChar w:fldCharType="end"/>
            </w:r>
          </w:hyperlink>
        </w:p>
        <w:p w14:paraId="38937F86" w14:textId="1B2C077C" w:rsidR="008656B2" w:rsidRDefault="000E5410" w:rsidP="008656B2">
          <w:pPr>
            <w:pStyle w:val="TOC2"/>
            <w:tabs>
              <w:tab w:val="right" w:leader="dot" w:pos="10076"/>
            </w:tabs>
            <w:spacing w:after="0"/>
            <w:rPr>
              <w:rFonts w:eastAsiaTheme="minorEastAsia"/>
              <w:noProof/>
              <w:lang w:eastAsia="en-AU"/>
            </w:rPr>
          </w:pPr>
          <w:hyperlink w:anchor="_Toc88030659" w:history="1">
            <w:r w:rsidR="008656B2" w:rsidRPr="00546C36">
              <w:rPr>
                <w:rStyle w:val="Hyperlink"/>
                <w:noProof/>
              </w:rPr>
              <w:t>Component 2: Institutional Strengthening and Implementation Support</w:t>
            </w:r>
            <w:r w:rsidR="008656B2">
              <w:rPr>
                <w:noProof/>
                <w:webHidden/>
              </w:rPr>
              <w:tab/>
            </w:r>
            <w:r w:rsidR="008656B2">
              <w:rPr>
                <w:noProof/>
                <w:webHidden/>
              </w:rPr>
              <w:fldChar w:fldCharType="begin"/>
            </w:r>
            <w:r w:rsidR="008656B2">
              <w:rPr>
                <w:noProof/>
                <w:webHidden/>
              </w:rPr>
              <w:instrText xml:space="preserve"> PAGEREF _Toc88030659 \h </w:instrText>
            </w:r>
            <w:r w:rsidR="008656B2">
              <w:rPr>
                <w:noProof/>
                <w:webHidden/>
              </w:rPr>
            </w:r>
            <w:r w:rsidR="008656B2">
              <w:rPr>
                <w:noProof/>
                <w:webHidden/>
              </w:rPr>
              <w:fldChar w:fldCharType="separate"/>
            </w:r>
            <w:r w:rsidR="008656B2">
              <w:rPr>
                <w:noProof/>
                <w:webHidden/>
              </w:rPr>
              <w:t>5</w:t>
            </w:r>
            <w:r w:rsidR="008656B2">
              <w:rPr>
                <w:noProof/>
                <w:webHidden/>
              </w:rPr>
              <w:fldChar w:fldCharType="end"/>
            </w:r>
          </w:hyperlink>
        </w:p>
        <w:p w14:paraId="0D900FE0" w14:textId="2AA28514" w:rsidR="008656B2" w:rsidRDefault="000E5410" w:rsidP="008656B2">
          <w:pPr>
            <w:pStyle w:val="TOC3"/>
            <w:tabs>
              <w:tab w:val="right" w:leader="dot" w:pos="10076"/>
            </w:tabs>
            <w:spacing w:after="0"/>
            <w:rPr>
              <w:rFonts w:eastAsiaTheme="minorEastAsia"/>
              <w:noProof/>
              <w:lang w:eastAsia="en-AU"/>
            </w:rPr>
          </w:pPr>
          <w:hyperlink w:anchor="_Toc88030660" w:history="1">
            <w:r w:rsidR="008656B2" w:rsidRPr="00546C36">
              <w:rPr>
                <w:rStyle w:val="Hyperlink"/>
                <w:noProof/>
              </w:rPr>
              <w:t>Sub-component 2.1: Expanding Technical Capacity of SPC-SDD</w:t>
            </w:r>
            <w:r w:rsidR="008656B2">
              <w:rPr>
                <w:noProof/>
                <w:webHidden/>
              </w:rPr>
              <w:tab/>
            </w:r>
            <w:r w:rsidR="008656B2">
              <w:rPr>
                <w:noProof/>
                <w:webHidden/>
              </w:rPr>
              <w:fldChar w:fldCharType="begin"/>
            </w:r>
            <w:r w:rsidR="008656B2">
              <w:rPr>
                <w:noProof/>
                <w:webHidden/>
              </w:rPr>
              <w:instrText xml:space="preserve"> PAGEREF _Toc88030660 \h </w:instrText>
            </w:r>
            <w:r w:rsidR="008656B2">
              <w:rPr>
                <w:noProof/>
                <w:webHidden/>
              </w:rPr>
            </w:r>
            <w:r w:rsidR="008656B2">
              <w:rPr>
                <w:noProof/>
                <w:webHidden/>
              </w:rPr>
              <w:fldChar w:fldCharType="separate"/>
            </w:r>
            <w:r w:rsidR="008656B2">
              <w:rPr>
                <w:noProof/>
                <w:webHidden/>
              </w:rPr>
              <w:t>5</w:t>
            </w:r>
            <w:r w:rsidR="008656B2">
              <w:rPr>
                <w:noProof/>
                <w:webHidden/>
              </w:rPr>
              <w:fldChar w:fldCharType="end"/>
            </w:r>
          </w:hyperlink>
        </w:p>
        <w:p w14:paraId="6ABDAFD5" w14:textId="75BB3132" w:rsidR="008656B2" w:rsidRDefault="000E5410" w:rsidP="008656B2">
          <w:pPr>
            <w:pStyle w:val="TOC3"/>
            <w:tabs>
              <w:tab w:val="right" w:leader="dot" w:pos="10076"/>
            </w:tabs>
            <w:spacing w:after="0"/>
            <w:rPr>
              <w:rFonts w:eastAsiaTheme="minorEastAsia"/>
              <w:noProof/>
              <w:lang w:eastAsia="en-AU"/>
            </w:rPr>
          </w:pPr>
          <w:hyperlink w:anchor="_Toc88030661" w:history="1">
            <w:r w:rsidR="008656B2" w:rsidRPr="00546C36">
              <w:rPr>
                <w:rStyle w:val="Hyperlink"/>
                <w:noProof/>
              </w:rPr>
              <w:t>Sub-component 2.2: Current Staff Support</w:t>
            </w:r>
            <w:r w:rsidR="008656B2">
              <w:rPr>
                <w:noProof/>
                <w:webHidden/>
              </w:rPr>
              <w:tab/>
            </w:r>
            <w:r w:rsidR="008656B2">
              <w:rPr>
                <w:noProof/>
                <w:webHidden/>
              </w:rPr>
              <w:fldChar w:fldCharType="begin"/>
            </w:r>
            <w:r w:rsidR="008656B2">
              <w:rPr>
                <w:noProof/>
                <w:webHidden/>
              </w:rPr>
              <w:instrText xml:space="preserve"> PAGEREF _Toc88030661 \h </w:instrText>
            </w:r>
            <w:r w:rsidR="008656B2">
              <w:rPr>
                <w:noProof/>
                <w:webHidden/>
              </w:rPr>
            </w:r>
            <w:r w:rsidR="008656B2">
              <w:rPr>
                <w:noProof/>
                <w:webHidden/>
              </w:rPr>
              <w:fldChar w:fldCharType="separate"/>
            </w:r>
            <w:r w:rsidR="008656B2">
              <w:rPr>
                <w:noProof/>
                <w:webHidden/>
              </w:rPr>
              <w:t>6</w:t>
            </w:r>
            <w:r w:rsidR="008656B2">
              <w:rPr>
                <w:noProof/>
                <w:webHidden/>
              </w:rPr>
              <w:fldChar w:fldCharType="end"/>
            </w:r>
          </w:hyperlink>
        </w:p>
        <w:p w14:paraId="0A0F65B5" w14:textId="2BA6E6A8" w:rsidR="008656B2" w:rsidRDefault="000E5410" w:rsidP="008656B2">
          <w:pPr>
            <w:pStyle w:val="TOC3"/>
            <w:tabs>
              <w:tab w:val="right" w:leader="dot" w:pos="10076"/>
            </w:tabs>
            <w:spacing w:after="0"/>
            <w:rPr>
              <w:rFonts w:eastAsiaTheme="minorEastAsia"/>
              <w:noProof/>
              <w:lang w:eastAsia="en-AU"/>
            </w:rPr>
          </w:pPr>
          <w:hyperlink w:anchor="_Toc88030662" w:history="1">
            <w:r w:rsidR="008656B2" w:rsidRPr="00546C36">
              <w:rPr>
                <w:rStyle w:val="Hyperlink"/>
                <w:noProof/>
              </w:rPr>
              <w:t>Sub-component 2.3: Implementation Support</w:t>
            </w:r>
            <w:r w:rsidR="008656B2">
              <w:rPr>
                <w:noProof/>
                <w:webHidden/>
              </w:rPr>
              <w:tab/>
            </w:r>
            <w:r w:rsidR="008656B2">
              <w:rPr>
                <w:noProof/>
                <w:webHidden/>
              </w:rPr>
              <w:fldChar w:fldCharType="begin"/>
            </w:r>
            <w:r w:rsidR="008656B2">
              <w:rPr>
                <w:noProof/>
                <w:webHidden/>
              </w:rPr>
              <w:instrText xml:space="preserve"> PAGEREF _Toc88030662 \h </w:instrText>
            </w:r>
            <w:r w:rsidR="008656B2">
              <w:rPr>
                <w:noProof/>
                <w:webHidden/>
              </w:rPr>
            </w:r>
            <w:r w:rsidR="008656B2">
              <w:rPr>
                <w:noProof/>
                <w:webHidden/>
              </w:rPr>
              <w:fldChar w:fldCharType="separate"/>
            </w:r>
            <w:r w:rsidR="008656B2">
              <w:rPr>
                <w:noProof/>
                <w:webHidden/>
              </w:rPr>
              <w:t>6</w:t>
            </w:r>
            <w:r w:rsidR="008656B2">
              <w:rPr>
                <w:noProof/>
                <w:webHidden/>
              </w:rPr>
              <w:fldChar w:fldCharType="end"/>
            </w:r>
          </w:hyperlink>
        </w:p>
        <w:p w14:paraId="0BBD96BE" w14:textId="32D5368A" w:rsidR="008656B2" w:rsidRDefault="000E5410" w:rsidP="008656B2">
          <w:pPr>
            <w:pStyle w:val="TOC2"/>
            <w:tabs>
              <w:tab w:val="right" w:leader="dot" w:pos="10076"/>
            </w:tabs>
            <w:spacing w:after="0"/>
            <w:rPr>
              <w:rFonts w:eastAsiaTheme="minorEastAsia"/>
              <w:noProof/>
              <w:lang w:eastAsia="en-AU"/>
            </w:rPr>
          </w:pPr>
          <w:hyperlink w:anchor="_Toc88030663" w:history="1">
            <w:r w:rsidR="008656B2" w:rsidRPr="00546C36">
              <w:rPr>
                <w:rStyle w:val="Hyperlink"/>
                <w:noProof/>
              </w:rPr>
              <w:t>Component 3: Alternative data collection methods</w:t>
            </w:r>
            <w:r w:rsidR="008656B2">
              <w:rPr>
                <w:noProof/>
                <w:webHidden/>
              </w:rPr>
              <w:tab/>
            </w:r>
            <w:r w:rsidR="008656B2">
              <w:rPr>
                <w:noProof/>
                <w:webHidden/>
              </w:rPr>
              <w:fldChar w:fldCharType="begin"/>
            </w:r>
            <w:r w:rsidR="008656B2">
              <w:rPr>
                <w:noProof/>
                <w:webHidden/>
              </w:rPr>
              <w:instrText xml:space="preserve"> PAGEREF _Toc88030663 \h </w:instrText>
            </w:r>
            <w:r w:rsidR="008656B2">
              <w:rPr>
                <w:noProof/>
                <w:webHidden/>
              </w:rPr>
            </w:r>
            <w:r w:rsidR="008656B2">
              <w:rPr>
                <w:noProof/>
                <w:webHidden/>
              </w:rPr>
              <w:fldChar w:fldCharType="separate"/>
            </w:r>
            <w:r w:rsidR="008656B2">
              <w:rPr>
                <w:noProof/>
                <w:webHidden/>
              </w:rPr>
              <w:t>7</w:t>
            </w:r>
            <w:r w:rsidR="008656B2">
              <w:rPr>
                <w:noProof/>
                <w:webHidden/>
              </w:rPr>
              <w:fldChar w:fldCharType="end"/>
            </w:r>
          </w:hyperlink>
        </w:p>
        <w:p w14:paraId="034C9D2A" w14:textId="0D8169B1" w:rsidR="008656B2" w:rsidRDefault="000E5410" w:rsidP="008656B2">
          <w:pPr>
            <w:pStyle w:val="TOC3"/>
            <w:tabs>
              <w:tab w:val="right" w:leader="dot" w:pos="10076"/>
            </w:tabs>
            <w:spacing w:after="0"/>
            <w:rPr>
              <w:rFonts w:eastAsiaTheme="minorEastAsia"/>
              <w:noProof/>
              <w:lang w:eastAsia="en-AU"/>
            </w:rPr>
          </w:pPr>
          <w:hyperlink w:anchor="_Toc88030664" w:history="1">
            <w:r w:rsidR="008656B2" w:rsidRPr="00546C36">
              <w:rPr>
                <w:rStyle w:val="Hyperlink"/>
                <w:noProof/>
              </w:rPr>
              <w:t>Sub-component 3.1: Innovations Technical Support</w:t>
            </w:r>
            <w:r w:rsidR="008656B2">
              <w:rPr>
                <w:noProof/>
                <w:webHidden/>
              </w:rPr>
              <w:tab/>
            </w:r>
            <w:r w:rsidR="008656B2">
              <w:rPr>
                <w:noProof/>
                <w:webHidden/>
              </w:rPr>
              <w:fldChar w:fldCharType="begin"/>
            </w:r>
            <w:r w:rsidR="008656B2">
              <w:rPr>
                <w:noProof/>
                <w:webHidden/>
              </w:rPr>
              <w:instrText xml:space="preserve"> PAGEREF _Toc88030664 \h </w:instrText>
            </w:r>
            <w:r w:rsidR="008656B2">
              <w:rPr>
                <w:noProof/>
                <w:webHidden/>
              </w:rPr>
            </w:r>
            <w:r w:rsidR="008656B2">
              <w:rPr>
                <w:noProof/>
                <w:webHidden/>
              </w:rPr>
              <w:fldChar w:fldCharType="separate"/>
            </w:r>
            <w:r w:rsidR="008656B2">
              <w:rPr>
                <w:noProof/>
                <w:webHidden/>
              </w:rPr>
              <w:t>7</w:t>
            </w:r>
            <w:r w:rsidR="008656B2">
              <w:rPr>
                <w:noProof/>
                <w:webHidden/>
              </w:rPr>
              <w:fldChar w:fldCharType="end"/>
            </w:r>
          </w:hyperlink>
        </w:p>
        <w:p w14:paraId="2D361931" w14:textId="47D86044" w:rsidR="008656B2" w:rsidRDefault="000E5410" w:rsidP="008656B2">
          <w:pPr>
            <w:pStyle w:val="TOC3"/>
            <w:tabs>
              <w:tab w:val="right" w:leader="dot" w:pos="10076"/>
            </w:tabs>
            <w:spacing w:after="0"/>
            <w:rPr>
              <w:rFonts w:eastAsiaTheme="minorEastAsia"/>
              <w:noProof/>
              <w:lang w:eastAsia="en-AU"/>
            </w:rPr>
          </w:pPr>
          <w:hyperlink w:anchor="_Toc88030665" w:history="1">
            <w:r w:rsidR="008656B2" w:rsidRPr="00546C36">
              <w:rPr>
                <w:rStyle w:val="Hyperlink"/>
                <w:noProof/>
              </w:rPr>
              <w:t>Sub-component 3.2: Funding for Innovation Experiments</w:t>
            </w:r>
            <w:r w:rsidR="008656B2">
              <w:rPr>
                <w:noProof/>
                <w:webHidden/>
              </w:rPr>
              <w:tab/>
            </w:r>
            <w:r w:rsidR="008656B2">
              <w:rPr>
                <w:noProof/>
                <w:webHidden/>
              </w:rPr>
              <w:fldChar w:fldCharType="begin"/>
            </w:r>
            <w:r w:rsidR="008656B2">
              <w:rPr>
                <w:noProof/>
                <w:webHidden/>
              </w:rPr>
              <w:instrText xml:space="preserve"> PAGEREF _Toc88030665 \h </w:instrText>
            </w:r>
            <w:r w:rsidR="008656B2">
              <w:rPr>
                <w:noProof/>
                <w:webHidden/>
              </w:rPr>
            </w:r>
            <w:r w:rsidR="008656B2">
              <w:rPr>
                <w:noProof/>
                <w:webHidden/>
              </w:rPr>
              <w:fldChar w:fldCharType="separate"/>
            </w:r>
            <w:r w:rsidR="008656B2">
              <w:rPr>
                <w:noProof/>
                <w:webHidden/>
              </w:rPr>
              <w:t>7</w:t>
            </w:r>
            <w:r w:rsidR="008656B2">
              <w:rPr>
                <w:noProof/>
                <w:webHidden/>
              </w:rPr>
              <w:fldChar w:fldCharType="end"/>
            </w:r>
          </w:hyperlink>
        </w:p>
        <w:p w14:paraId="0F714AD7" w14:textId="255B0CB2" w:rsidR="008656B2" w:rsidRDefault="000E5410" w:rsidP="008656B2">
          <w:pPr>
            <w:pStyle w:val="TOC1"/>
            <w:tabs>
              <w:tab w:val="right" w:leader="dot" w:pos="10076"/>
            </w:tabs>
            <w:spacing w:after="0"/>
            <w:rPr>
              <w:rFonts w:eastAsiaTheme="minorEastAsia"/>
              <w:noProof/>
              <w:lang w:eastAsia="en-AU"/>
            </w:rPr>
          </w:pPr>
          <w:hyperlink w:anchor="_Toc88030666" w:history="1">
            <w:r w:rsidR="008656B2" w:rsidRPr="00546C36">
              <w:rPr>
                <w:rStyle w:val="Hyperlink"/>
                <w:noProof/>
              </w:rPr>
              <w:t>Travel plans</w:t>
            </w:r>
            <w:r w:rsidR="008656B2">
              <w:rPr>
                <w:noProof/>
                <w:webHidden/>
              </w:rPr>
              <w:tab/>
            </w:r>
            <w:r w:rsidR="008656B2">
              <w:rPr>
                <w:noProof/>
                <w:webHidden/>
              </w:rPr>
              <w:fldChar w:fldCharType="begin"/>
            </w:r>
            <w:r w:rsidR="008656B2">
              <w:rPr>
                <w:noProof/>
                <w:webHidden/>
              </w:rPr>
              <w:instrText xml:space="preserve"> PAGEREF _Toc88030666 \h </w:instrText>
            </w:r>
            <w:r w:rsidR="008656B2">
              <w:rPr>
                <w:noProof/>
                <w:webHidden/>
              </w:rPr>
            </w:r>
            <w:r w:rsidR="008656B2">
              <w:rPr>
                <w:noProof/>
                <w:webHidden/>
              </w:rPr>
              <w:fldChar w:fldCharType="separate"/>
            </w:r>
            <w:r w:rsidR="008656B2">
              <w:rPr>
                <w:noProof/>
                <w:webHidden/>
              </w:rPr>
              <w:t>8</w:t>
            </w:r>
            <w:r w:rsidR="008656B2">
              <w:rPr>
                <w:noProof/>
                <w:webHidden/>
              </w:rPr>
              <w:fldChar w:fldCharType="end"/>
            </w:r>
          </w:hyperlink>
        </w:p>
        <w:p w14:paraId="0850E304" w14:textId="55457138" w:rsidR="008656B2" w:rsidRDefault="000E5410" w:rsidP="008656B2">
          <w:pPr>
            <w:pStyle w:val="TOC1"/>
            <w:tabs>
              <w:tab w:val="right" w:leader="dot" w:pos="10076"/>
            </w:tabs>
            <w:spacing w:after="0"/>
            <w:rPr>
              <w:rFonts w:eastAsiaTheme="minorEastAsia"/>
              <w:noProof/>
              <w:lang w:eastAsia="en-AU"/>
            </w:rPr>
          </w:pPr>
          <w:hyperlink w:anchor="_Toc88030667" w:history="1">
            <w:r w:rsidR="008656B2" w:rsidRPr="00546C36">
              <w:rPr>
                <w:rStyle w:val="Hyperlink"/>
                <w:noProof/>
              </w:rPr>
              <w:t>Workshops and conferences</w:t>
            </w:r>
            <w:r w:rsidR="008656B2">
              <w:rPr>
                <w:noProof/>
                <w:webHidden/>
              </w:rPr>
              <w:tab/>
            </w:r>
            <w:r w:rsidR="008656B2">
              <w:rPr>
                <w:noProof/>
                <w:webHidden/>
              </w:rPr>
              <w:fldChar w:fldCharType="begin"/>
            </w:r>
            <w:r w:rsidR="008656B2">
              <w:rPr>
                <w:noProof/>
                <w:webHidden/>
              </w:rPr>
              <w:instrText xml:space="preserve"> PAGEREF _Toc88030667 \h </w:instrText>
            </w:r>
            <w:r w:rsidR="008656B2">
              <w:rPr>
                <w:noProof/>
                <w:webHidden/>
              </w:rPr>
            </w:r>
            <w:r w:rsidR="008656B2">
              <w:rPr>
                <w:noProof/>
                <w:webHidden/>
              </w:rPr>
              <w:fldChar w:fldCharType="separate"/>
            </w:r>
            <w:r w:rsidR="008656B2">
              <w:rPr>
                <w:noProof/>
                <w:webHidden/>
              </w:rPr>
              <w:t>9</w:t>
            </w:r>
            <w:r w:rsidR="008656B2">
              <w:rPr>
                <w:noProof/>
                <w:webHidden/>
              </w:rPr>
              <w:fldChar w:fldCharType="end"/>
            </w:r>
          </w:hyperlink>
        </w:p>
        <w:p w14:paraId="2221B9D1" w14:textId="1F0F05F7" w:rsidR="008656B2" w:rsidRDefault="000E5410" w:rsidP="008656B2">
          <w:pPr>
            <w:pStyle w:val="TOC2"/>
            <w:tabs>
              <w:tab w:val="right" w:leader="dot" w:pos="10076"/>
            </w:tabs>
            <w:spacing w:after="0"/>
            <w:rPr>
              <w:rFonts w:eastAsiaTheme="minorEastAsia"/>
              <w:noProof/>
              <w:lang w:eastAsia="en-AU"/>
            </w:rPr>
          </w:pPr>
          <w:hyperlink w:anchor="_Toc88030668" w:history="1">
            <w:r w:rsidR="008656B2" w:rsidRPr="00546C36">
              <w:rPr>
                <w:rStyle w:val="Hyperlink"/>
                <w:noProof/>
              </w:rPr>
              <w:t>Regional conference</w:t>
            </w:r>
            <w:r w:rsidR="008656B2">
              <w:rPr>
                <w:noProof/>
                <w:webHidden/>
              </w:rPr>
              <w:tab/>
            </w:r>
            <w:r w:rsidR="008656B2">
              <w:rPr>
                <w:noProof/>
                <w:webHidden/>
              </w:rPr>
              <w:fldChar w:fldCharType="begin"/>
            </w:r>
            <w:r w:rsidR="008656B2">
              <w:rPr>
                <w:noProof/>
                <w:webHidden/>
              </w:rPr>
              <w:instrText xml:space="preserve"> PAGEREF _Toc88030668 \h </w:instrText>
            </w:r>
            <w:r w:rsidR="008656B2">
              <w:rPr>
                <w:noProof/>
                <w:webHidden/>
              </w:rPr>
            </w:r>
            <w:r w:rsidR="008656B2">
              <w:rPr>
                <w:noProof/>
                <w:webHidden/>
              </w:rPr>
              <w:fldChar w:fldCharType="separate"/>
            </w:r>
            <w:r w:rsidR="008656B2">
              <w:rPr>
                <w:noProof/>
                <w:webHidden/>
              </w:rPr>
              <w:t>9</w:t>
            </w:r>
            <w:r w:rsidR="008656B2">
              <w:rPr>
                <w:noProof/>
                <w:webHidden/>
              </w:rPr>
              <w:fldChar w:fldCharType="end"/>
            </w:r>
          </w:hyperlink>
        </w:p>
        <w:p w14:paraId="02E24499" w14:textId="1484AB81" w:rsidR="008656B2" w:rsidRDefault="000E5410" w:rsidP="008656B2">
          <w:pPr>
            <w:pStyle w:val="TOC3"/>
            <w:tabs>
              <w:tab w:val="right" w:leader="dot" w:pos="10076"/>
            </w:tabs>
            <w:spacing w:after="0"/>
            <w:rPr>
              <w:rFonts w:eastAsiaTheme="minorEastAsia"/>
              <w:noProof/>
              <w:lang w:eastAsia="en-AU"/>
            </w:rPr>
          </w:pPr>
          <w:hyperlink w:anchor="_Toc88030669" w:history="1">
            <w:r w:rsidR="008656B2" w:rsidRPr="00546C36">
              <w:rPr>
                <w:rStyle w:val="Hyperlink"/>
                <w:noProof/>
              </w:rPr>
              <w:t>Regional Conference 1: Pacific HIES Method</w:t>
            </w:r>
            <w:r w:rsidR="008656B2">
              <w:rPr>
                <w:noProof/>
                <w:webHidden/>
              </w:rPr>
              <w:tab/>
            </w:r>
            <w:r w:rsidR="008656B2">
              <w:rPr>
                <w:noProof/>
                <w:webHidden/>
              </w:rPr>
              <w:fldChar w:fldCharType="begin"/>
            </w:r>
            <w:r w:rsidR="008656B2">
              <w:rPr>
                <w:noProof/>
                <w:webHidden/>
              </w:rPr>
              <w:instrText xml:space="preserve"> PAGEREF _Toc88030669 \h </w:instrText>
            </w:r>
            <w:r w:rsidR="008656B2">
              <w:rPr>
                <w:noProof/>
                <w:webHidden/>
              </w:rPr>
            </w:r>
            <w:r w:rsidR="008656B2">
              <w:rPr>
                <w:noProof/>
                <w:webHidden/>
              </w:rPr>
              <w:fldChar w:fldCharType="separate"/>
            </w:r>
            <w:r w:rsidR="008656B2">
              <w:rPr>
                <w:noProof/>
                <w:webHidden/>
              </w:rPr>
              <w:t>9</w:t>
            </w:r>
            <w:r w:rsidR="008656B2">
              <w:rPr>
                <w:noProof/>
                <w:webHidden/>
              </w:rPr>
              <w:fldChar w:fldCharType="end"/>
            </w:r>
          </w:hyperlink>
        </w:p>
        <w:p w14:paraId="3D6E4181" w14:textId="59AC6DE8" w:rsidR="008656B2" w:rsidRDefault="000E5410" w:rsidP="008656B2">
          <w:pPr>
            <w:pStyle w:val="TOC3"/>
            <w:tabs>
              <w:tab w:val="right" w:leader="dot" w:pos="10076"/>
            </w:tabs>
            <w:spacing w:after="0"/>
            <w:rPr>
              <w:rFonts w:eastAsiaTheme="minorEastAsia"/>
              <w:noProof/>
              <w:lang w:eastAsia="en-AU"/>
            </w:rPr>
          </w:pPr>
          <w:hyperlink w:anchor="_Toc88030670" w:history="1">
            <w:r w:rsidR="008656B2" w:rsidRPr="00546C36">
              <w:rPr>
                <w:rStyle w:val="Hyperlink"/>
                <w:noProof/>
              </w:rPr>
              <w:t>Regional Conference 2: Pacific Poverty Method</w:t>
            </w:r>
            <w:r w:rsidR="008656B2">
              <w:rPr>
                <w:noProof/>
                <w:webHidden/>
              </w:rPr>
              <w:tab/>
            </w:r>
            <w:r w:rsidR="008656B2">
              <w:rPr>
                <w:noProof/>
                <w:webHidden/>
              </w:rPr>
              <w:fldChar w:fldCharType="begin"/>
            </w:r>
            <w:r w:rsidR="008656B2">
              <w:rPr>
                <w:noProof/>
                <w:webHidden/>
              </w:rPr>
              <w:instrText xml:space="preserve"> PAGEREF _Toc88030670 \h </w:instrText>
            </w:r>
            <w:r w:rsidR="008656B2">
              <w:rPr>
                <w:noProof/>
                <w:webHidden/>
              </w:rPr>
            </w:r>
            <w:r w:rsidR="008656B2">
              <w:rPr>
                <w:noProof/>
                <w:webHidden/>
              </w:rPr>
              <w:fldChar w:fldCharType="separate"/>
            </w:r>
            <w:r w:rsidR="008656B2">
              <w:rPr>
                <w:noProof/>
                <w:webHidden/>
              </w:rPr>
              <w:t>9</w:t>
            </w:r>
            <w:r w:rsidR="008656B2">
              <w:rPr>
                <w:noProof/>
                <w:webHidden/>
              </w:rPr>
              <w:fldChar w:fldCharType="end"/>
            </w:r>
          </w:hyperlink>
        </w:p>
        <w:p w14:paraId="49D3B3E1" w14:textId="168C7C57" w:rsidR="008656B2" w:rsidRDefault="000E5410" w:rsidP="008656B2">
          <w:pPr>
            <w:pStyle w:val="TOC2"/>
            <w:tabs>
              <w:tab w:val="right" w:leader="dot" w:pos="10076"/>
            </w:tabs>
            <w:spacing w:after="0"/>
            <w:rPr>
              <w:rFonts w:eastAsiaTheme="minorEastAsia"/>
              <w:noProof/>
              <w:lang w:eastAsia="en-AU"/>
            </w:rPr>
          </w:pPr>
          <w:hyperlink w:anchor="_Toc88030671" w:history="1">
            <w:r w:rsidR="008656B2" w:rsidRPr="00546C36">
              <w:rPr>
                <w:rStyle w:val="Hyperlink"/>
                <w:noProof/>
              </w:rPr>
              <w:t>National (and sub-regional) workshops</w:t>
            </w:r>
            <w:r w:rsidR="008656B2">
              <w:rPr>
                <w:noProof/>
                <w:webHidden/>
              </w:rPr>
              <w:tab/>
            </w:r>
            <w:r w:rsidR="008656B2">
              <w:rPr>
                <w:noProof/>
                <w:webHidden/>
              </w:rPr>
              <w:fldChar w:fldCharType="begin"/>
            </w:r>
            <w:r w:rsidR="008656B2">
              <w:rPr>
                <w:noProof/>
                <w:webHidden/>
              </w:rPr>
              <w:instrText xml:space="preserve"> PAGEREF _Toc88030671 \h </w:instrText>
            </w:r>
            <w:r w:rsidR="008656B2">
              <w:rPr>
                <w:noProof/>
                <w:webHidden/>
              </w:rPr>
            </w:r>
            <w:r w:rsidR="008656B2">
              <w:rPr>
                <w:noProof/>
                <w:webHidden/>
              </w:rPr>
              <w:fldChar w:fldCharType="separate"/>
            </w:r>
            <w:r w:rsidR="008656B2">
              <w:rPr>
                <w:noProof/>
                <w:webHidden/>
              </w:rPr>
              <w:t>9</w:t>
            </w:r>
            <w:r w:rsidR="008656B2">
              <w:rPr>
                <w:noProof/>
                <w:webHidden/>
              </w:rPr>
              <w:fldChar w:fldCharType="end"/>
            </w:r>
          </w:hyperlink>
        </w:p>
        <w:p w14:paraId="59A88A31" w14:textId="3598D912" w:rsidR="008656B2" w:rsidRDefault="000E5410" w:rsidP="008656B2">
          <w:pPr>
            <w:pStyle w:val="TOC3"/>
            <w:tabs>
              <w:tab w:val="right" w:leader="dot" w:pos="10076"/>
            </w:tabs>
            <w:spacing w:after="0"/>
            <w:rPr>
              <w:rFonts w:eastAsiaTheme="minorEastAsia"/>
              <w:noProof/>
              <w:lang w:eastAsia="en-AU"/>
            </w:rPr>
          </w:pPr>
          <w:hyperlink w:anchor="_Toc88030672" w:history="1">
            <w:r w:rsidR="008656B2" w:rsidRPr="00546C36">
              <w:rPr>
                <w:rStyle w:val="Hyperlink"/>
                <w:noProof/>
              </w:rPr>
              <w:t>Sampling and survey planning (incl. CAPI)</w:t>
            </w:r>
            <w:r w:rsidR="008656B2">
              <w:rPr>
                <w:noProof/>
                <w:webHidden/>
              </w:rPr>
              <w:tab/>
            </w:r>
            <w:r w:rsidR="008656B2">
              <w:rPr>
                <w:noProof/>
                <w:webHidden/>
              </w:rPr>
              <w:fldChar w:fldCharType="begin"/>
            </w:r>
            <w:r w:rsidR="008656B2">
              <w:rPr>
                <w:noProof/>
                <w:webHidden/>
              </w:rPr>
              <w:instrText xml:space="preserve"> PAGEREF _Toc88030672 \h </w:instrText>
            </w:r>
            <w:r w:rsidR="008656B2">
              <w:rPr>
                <w:noProof/>
                <w:webHidden/>
              </w:rPr>
            </w:r>
            <w:r w:rsidR="008656B2">
              <w:rPr>
                <w:noProof/>
                <w:webHidden/>
              </w:rPr>
              <w:fldChar w:fldCharType="separate"/>
            </w:r>
            <w:r w:rsidR="008656B2">
              <w:rPr>
                <w:noProof/>
                <w:webHidden/>
              </w:rPr>
              <w:t>9</w:t>
            </w:r>
            <w:r w:rsidR="008656B2">
              <w:rPr>
                <w:noProof/>
                <w:webHidden/>
              </w:rPr>
              <w:fldChar w:fldCharType="end"/>
            </w:r>
          </w:hyperlink>
        </w:p>
        <w:p w14:paraId="31CA5045" w14:textId="0EBE6615" w:rsidR="008656B2" w:rsidRDefault="000E5410" w:rsidP="008656B2">
          <w:pPr>
            <w:pStyle w:val="TOC3"/>
            <w:tabs>
              <w:tab w:val="right" w:leader="dot" w:pos="10076"/>
            </w:tabs>
            <w:spacing w:after="0"/>
            <w:rPr>
              <w:rFonts w:eastAsiaTheme="minorEastAsia"/>
              <w:noProof/>
              <w:lang w:eastAsia="en-AU"/>
            </w:rPr>
          </w:pPr>
          <w:hyperlink w:anchor="_Toc88030673" w:history="1">
            <w:r w:rsidR="008656B2" w:rsidRPr="00546C36">
              <w:rPr>
                <w:rStyle w:val="Hyperlink"/>
                <w:noProof/>
              </w:rPr>
              <w:t>HIES data processing (incl. Stata)</w:t>
            </w:r>
            <w:r w:rsidR="008656B2">
              <w:rPr>
                <w:noProof/>
                <w:webHidden/>
              </w:rPr>
              <w:tab/>
            </w:r>
            <w:r w:rsidR="008656B2">
              <w:rPr>
                <w:noProof/>
                <w:webHidden/>
              </w:rPr>
              <w:fldChar w:fldCharType="begin"/>
            </w:r>
            <w:r w:rsidR="008656B2">
              <w:rPr>
                <w:noProof/>
                <w:webHidden/>
              </w:rPr>
              <w:instrText xml:space="preserve"> PAGEREF _Toc88030673 \h </w:instrText>
            </w:r>
            <w:r w:rsidR="008656B2">
              <w:rPr>
                <w:noProof/>
                <w:webHidden/>
              </w:rPr>
            </w:r>
            <w:r w:rsidR="008656B2">
              <w:rPr>
                <w:noProof/>
                <w:webHidden/>
              </w:rPr>
              <w:fldChar w:fldCharType="separate"/>
            </w:r>
            <w:r w:rsidR="008656B2">
              <w:rPr>
                <w:noProof/>
                <w:webHidden/>
              </w:rPr>
              <w:t>10</w:t>
            </w:r>
            <w:r w:rsidR="008656B2">
              <w:rPr>
                <w:noProof/>
                <w:webHidden/>
              </w:rPr>
              <w:fldChar w:fldCharType="end"/>
            </w:r>
          </w:hyperlink>
        </w:p>
        <w:p w14:paraId="39763212" w14:textId="0AC6121C" w:rsidR="008656B2" w:rsidRDefault="000E5410" w:rsidP="008656B2">
          <w:pPr>
            <w:pStyle w:val="TOC3"/>
            <w:tabs>
              <w:tab w:val="right" w:leader="dot" w:pos="10076"/>
            </w:tabs>
            <w:spacing w:after="0"/>
            <w:rPr>
              <w:rFonts w:eastAsiaTheme="minorEastAsia"/>
              <w:noProof/>
              <w:lang w:eastAsia="en-AU"/>
            </w:rPr>
          </w:pPr>
          <w:hyperlink w:anchor="_Toc88030674" w:history="1">
            <w:r w:rsidR="008656B2" w:rsidRPr="00546C36">
              <w:rPr>
                <w:rStyle w:val="Hyperlink"/>
                <w:noProof/>
              </w:rPr>
              <w:t>Analysis, reporting and dissemination (incl. Stata)</w:t>
            </w:r>
            <w:r w:rsidR="008656B2">
              <w:rPr>
                <w:noProof/>
                <w:webHidden/>
              </w:rPr>
              <w:tab/>
            </w:r>
            <w:r w:rsidR="008656B2">
              <w:rPr>
                <w:noProof/>
                <w:webHidden/>
              </w:rPr>
              <w:fldChar w:fldCharType="begin"/>
            </w:r>
            <w:r w:rsidR="008656B2">
              <w:rPr>
                <w:noProof/>
                <w:webHidden/>
              </w:rPr>
              <w:instrText xml:space="preserve"> PAGEREF _Toc88030674 \h </w:instrText>
            </w:r>
            <w:r w:rsidR="008656B2">
              <w:rPr>
                <w:noProof/>
                <w:webHidden/>
              </w:rPr>
            </w:r>
            <w:r w:rsidR="008656B2">
              <w:rPr>
                <w:noProof/>
                <w:webHidden/>
              </w:rPr>
              <w:fldChar w:fldCharType="separate"/>
            </w:r>
            <w:r w:rsidR="008656B2">
              <w:rPr>
                <w:noProof/>
                <w:webHidden/>
              </w:rPr>
              <w:t>10</w:t>
            </w:r>
            <w:r w:rsidR="008656B2">
              <w:rPr>
                <w:noProof/>
                <w:webHidden/>
              </w:rPr>
              <w:fldChar w:fldCharType="end"/>
            </w:r>
          </w:hyperlink>
        </w:p>
        <w:p w14:paraId="066BAF90" w14:textId="13680A36" w:rsidR="008656B2" w:rsidRDefault="000E5410" w:rsidP="008656B2">
          <w:pPr>
            <w:pStyle w:val="TOC1"/>
            <w:tabs>
              <w:tab w:val="right" w:leader="dot" w:pos="10076"/>
            </w:tabs>
            <w:spacing w:after="0"/>
            <w:rPr>
              <w:rFonts w:eastAsiaTheme="minorEastAsia"/>
              <w:noProof/>
              <w:lang w:eastAsia="en-AU"/>
            </w:rPr>
          </w:pPr>
          <w:hyperlink w:anchor="_Toc88030675" w:history="1">
            <w:r w:rsidR="008656B2" w:rsidRPr="00546C36">
              <w:rPr>
                <w:rStyle w:val="Hyperlink"/>
                <w:noProof/>
              </w:rPr>
              <w:t>Performance targets</w:t>
            </w:r>
            <w:r w:rsidR="008656B2">
              <w:rPr>
                <w:noProof/>
                <w:webHidden/>
              </w:rPr>
              <w:tab/>
            </w:r>
            <w:r w:rsidR="008656B2">
              <w:rPr>
                <w:noProof/>
                <w:webHidden/>
              </w:rPr>
              <w:fldChar w:fldCharType="begin"/>
            </w:r>
            <w:r w:rsidR="008656B2">
              <w:rPr>
                <w:noProof/>
                <w:webHidden/>
              </w:rPr>
              <w:instrText xml:space="preserve"> PAGEREF _Toc88030675 \h </w:instrText>
            </w:r>
            <w:r w:rsidR="008656B2">
              <w:rPr>
                <w:noProof/>
                <w:webHidden/>
              </w:rPr>
            </w:r>
            <w:r w:rsidR="008656B2">
              <w:rPr>
                <w:noProof/>
                <w:webHidden/>
              </w:rPr>
              <w:fldChar w:fldCharType="separate"/>
            </w:r>
            <w:r w:rsidR="008656B2">
              <w:rPr>
                <w:noProof/>
                <w:webHidden/>
              </w:rPr>
              <w:t>11</w:t>
            </w:r>
            <w:r w:rsidR="008656B2">
              <w:rPr>
                <w:noProof/>
                <w:webHidden/>
              </w:rPr>
              <w:fldChar w:fldCharType="end"/>
            </w:r>
          </w:hyperlink>
        </w:p>
        <w:p w14:paraId="6C3AE4AD" w14:textId="0867D3B0" w:rsidR="008656B2" w:rsidRDefault="000E5410" w:rsidP="008656B2">
          <w:pPr>
            <w:pStyle w:val="TOC1"/>
            <w:tabs>
              <w:tab w:val="right" w:leader="dot" w:pos="10076"/>
            </w:tabs>
            <w:spacing w:after="0"/>
            <w:rPr>
              <w:rFonts w:eastAsiaTheme="minorEastAsia"/>
              <w:noProof/>
              <w:lang w:eastAsia="en-AU"/>
            </w:rPr>
          </w:pPr>
          <w:hyperlink w:anchor="_Toc88030676" w:history="1">
            <w:r w:rsidR="008656B2" w:rsidRPr="00546C36">
              <w:rPr>
                <w:rStyle w:val="Hyperlink"/>
                <w:noProof/>
              </w:rPr>
              <w:t>Resources and staff required</w:t>
            </w:r>
            <w:r w:rsidR="008656B2">
              <w:rPr>
                <w:noProof/>
                <w:webHidden/>
              </w:rPr>
              <w:tab/>
            </w:r>
            <w:r w:rsidR="008656B2">
              <w:rPr>
                <w:noProof/>
                <w:webHidden/>
              </w:rPr>
              <w:fldChar w:fldCharType="begin"/>
            </w:r>
            <w:r w:rsidR="008656B2">
              <w:rPr>
                <w:noProof/>
                <w:webHidden/>
              </w:rPr>
              <w:instrText xml:space="preserve"> PAGEREF _Toc88030676 \h </w:instrText>
            </w:r>
            <w:r w:rsidR="008656B2">
              <w:rPr>
                <w:noProof/>
                <w:webHidden/>
              </w:rPr>
            </w:r>
            <w:r w:rsidR="008656B2">
              <w:rPr>
                <w:noProof/>
                <w:webHidden/>
              </w:rPr>
              <w:fldChar w:fldCharType="separate"/>
            </w:r>
            <w:r w:rsidR="008656B2">
              <w:rPr>
                <w:noProof/>
                <w:webHidden/>
              </w:rPr>
              <w:t>11</w:t>
            </w:r>
            <w:r w:rsidR="008656B2">
              <w:rPr>
                <w:noProof/>
                <w:webHidden/>
              </w:rPr>
              <w:fldChar w:fldCharType="end"/>
            </w:r>
          </w:hyperlink>
        </w:p>
        <w:p w14:paraId="2A63B7FC" w14:textId="756EA384" w:rsidR="008656B2" w:rsidRDefault="000E5410" w:rsidP="008656B2">
          <w:pPr>
            <w:pStyle w:val="TOC1"/>
            <w:tabs>
              <w:tab w:val="right" w:leader="dot" w:pos="10076"/>
            </w:tabs>
            <w:spacing w:after="0"/>
            <w:rPr>
              <w:rFonts w:eastAsiaTheme="minorEastAsia"/>
              <w:noProof/>
              <w:lang w:eastAsia="en-AU"/>
            </w:rPr>
          </w:pPr>
          <w:hyperlink w:anchor="_Toc88030677" w:history="1">
            <w:r w:rsidR="008656B2" w:rsidRPr="00546C36">
              <w:rPr>
                <w:rStyle w:val="Hyperlink"/>
                <w:noProof/>
              </w:rPr>
              <w:t>Budget</w:t>
            </w:r>
            <w:r w:rsidR="008656B2">
              <w:rPr>
                <w:noProof/>
                <w:webHidden/>
              </w:rPr>
              <w:tab/>
            </w:r>
            <w:r w:rsidR="008656B2">
              <w:rPr>
                <w:noProof/>
                <w:webHidden/>
              </w:rPr>
              <w:fldChar w:fldCharType="begin"/>
            </w:r>
            <w:r w:rsidR="008656B2">
              <w:rPr>
                <w:noProof/>
                <w:webHidden/>
              </w:rPr>
              <w:instrText xml:space="preserve"> PAGEREF _Toc88030677 \h </w:instrText>
            </w:r>
            <w:r w:rsidR="008656B2">
              <w:rPr>
                <w:noProof/>
                <w:webHidden/>
              </w:rPr>
            </w:r>
            <w:r w:rsidR="008656B2">
              <w:rPr>
                <w:noProof/>
                <w:webHidden/>
              </w:rPr>
              <w:fldChar w:fldCharType="separate"/>
            </w:r>
            <w:r w:rsidR="008656B2">
              <w:rPr>
                <w:noProof/>
                <w:webHidden/>
              </w:rPr>
              <w:t>12</w:t>
            </w:r>
            <w:r w:rsidR="008656B2">
              <w:rPr>
                <w:noProof/>
                <w:webHidden/>
              </w:rPr>
              <w:fldChar w:fldCharType="end"/>
            </w:r>
          </w:hyperlink>
        </w:p>
        <w:p w14:paraId="4E961131" w14:textId="5405A616" w:rsidR="008656B2" w:rsidRDefault="000E5410" w:rsidP="008656B2">
          <w:pPr>
            <w:pStyle w:val="TOC1"/>
            <w:tabs>
              <w:tab w:val="right" w:leader="dot" w:pos="10076"/>
            </w:tabs>
            <w:spacing w:after="0"/>
            <w:rPr>
              <w:rFonts w:eastAsiaTheme="minorEastAsia"/>
              <w:noProof/>
              <w:lang w:eastAsia="en-AU"/>
            </w:rPr>
          </w:pPr>
          <w:hyperlink w:anchor="_Toc88030678" w:history="1">
            <w:r w:rsidR="008656B2" w:rsidRPr="00546C36">
              <w:rPr>
                <w:rStyle w:val="Hyperlink"/>
                <w:noProof/>
              </w:rPr>
              <w:t>Procurement plan</w:t>
            </w:r>
            <w:r w:rsidR="008656B2">
              <w:rPr>
                <w:noProof/>
                <w:webHidden/>
              </w:rPr>
              <w:tab/>
            </w:r>
            <w:r w:rsidR="008656B2">
              <w:rPr>
                <w:noProof/>
                <w:webHidden/>
              </w:rPr>
              <w:fldChar w:fldCharType="begin"/>
            </w:r>
            <w:r w:rsidR="008656B2">
              <w:rPr>
                <w:noProof/>
                <w:webHidden/>
              </w:rPr>
              <w:instrText xml:space="preserve"> PAGEREF _Toc88030678 \h </w:instrText>
            </w:r>
            <w:r w:rsidR="008656B2">
              <w:rPr>
                <w:noProof/>
                <w:webHidden/>
              </w:rPr>
            </w:r>
            <w:r w:rsidR="008656B2">
              <w:rPr>
                <w:noProof/>
                <w:webHidden/>
              </w:rPr>
              <w:fldChar w:fldCharType="separate"/>
            </w:r>
            <w:r w:rsidR="008656B2">
              <w:rPr>
                <w:noProof/>
                <w:webHidden/>
              </w:rPr>
              <w:t>13</w:t>
            </w:r>
            <w:r w:rsidR="008656B2">
              <w:rPr>
                <w:noProof/>
                <w:webHidden/>
              </w:rPr>
              <w:fldChar w:fldCharType="end"/>
            </w:r>
          </w:hyperlink>
        </w:p>
        <w:p w14:paraId="6E1E6C0D" w14:textId="54BED5F4" w:rsidR="008656B2" w:rsidRDefault="000E5410" w:rsidP="008656B2">
          <w:pPr>
            <w:pStyle w:val="TOC1"/>
            <w:tabs>
              <w:tab w:val="right" w:leader="dot" w:pos="10076"/>
            </w:tabs>
            <w:spacing w:after="0"/>
            <w:rPr>
              <w:rFonts w:eastAsiaTheme="minorEastAsia"/>
              <w:noProof/>
              <w:lang w:eastAsia="en-AU"/>
            </w:rPr>
          </w:pPr>
          <w:hyperlink w:anchor="_Toc88030679" w:history="1">
            <w:r w:rsidR="008656B2" w:rsidRPr="00546C36">
              <w:rPr>
                <w:rStyle w:val="Hyperlink"/>
                <w:noProof/>
              </w:rPr>
              <w:t>Reporting requirements for 2022</w:t>
            </w:r>
            <w:r w:rsidR="008656B2">
              <w:rPr>
                <w:noProof/>
                <w:webHidden/>
              </w:rPr>
              <w:tab/>
            </w:r>
            <w:r w:rsidR="008656B2">
              <w:rPr>
                <w:noProof/>
                <w:webHidden/>
              </w:rPr>
              <w:fldChar w:fldCharType="begin"/>
            </w:r>
            <w:r w:rsidR="008656B2">
              <w:rPr>
                <w:noProof/>
                <w:webHidden/>
              </w:rPr>
              <w:instrText xml:space="preserve"> PAGEREF _Toc88030679 \h </w:instrText>
            </w:r>
            <w:r w:rsidR="008656B2">
              <w:rPr>
                <w:noProof/>
                <w:webHidden/>
              </w:rPr>
            </w:r>
            <w:r w:rsidR="008656B2">
              <w:rPr>
                <w:noProof/>
                <w:webHidden/>
              </w:rPr>
              <w:fldChar w:fldCharType="separate"/>
            </w:r>
            <w:r w:rsidR="008656B2">
              <w:rPr>
                <w:noProof/>
                <w:webHidden/>
              </w:rPr>
              <w:t>13</w:t>
            </w:r>
            <w:r w:rsidR="008656B2">
              <w:rPr>
                <w:noProof/>
                <w:webHidden/>
              </w:rPr>
              <w:fldChar w:fldCharType="end"/>
            </w:r>
          </w:hyperlink>
        </w:p>
        <w:p w14:paraId="10C40206" w14:textId="2024141A" w:rsidR="005004B7" w:rsidRDefault="005004B7" w:rsidP="00BD7240">
          <w:pPr>
            <w:spacing w:after="0"/>
          </w:pPr>
          <w:r>
            <w:rPr>
              <w:b/>
              <w:bCs/>
              <w:noProof/>
            </w:rPr>
            <w:fldChar w:fldCharType="end"/>
          </w:r>
        </w:p>
      </w:sdtContent>
    </w:sdt>
    <w:p w14:paraId="4A8E68DC" w14:textId="77777777" w:rsidR="00BD7240" w:rsidRDefault="00ED4261">
      <w:pPr>
        <w:sectPr w:rsidR="00BD7240" w:rsidSect="004F6A99">
          <w:footerReference w:type="default" r:id="rId8"/>
          <w:pgSz w:w="11900" w:h="16840" w:code="9"/>
          <w:pgMar w:top="965" w:right="907" w:bottom="850" w:left="907" w:header="720" w:footer="720" w:gutter="0"/>
          <w:cols w:space="720"/>
          <w:titlePg/>
          <w:docGrid w:linePitch="360"/>
        </w:sectPr>
      </w:pPr>
      <w:r>
        <w:br w:type="page"/>
      </w:r>
    </w:p>
    <w:p w14:paraId="5459A11A" w14:textId="39E082A8" w:rsidR="00BD7240" w:rsidRDefault="00BD7240" w:rsidP="00BD7240">
      <w:pPr>
        <w:pStyle w:val="Heading1"/>
      </w:pPr>
      <w:bookmarkStart w:id="0" w:name="_Toc88030653"/>
      <w:r>
        <w:lastRenderedPageBreak/>
        <w:t>202</w:t>
      </w:r>
      <w:r w:rsidR="00CB59BB">
        <w:t>2</w:t>
      </w:r>
      <w:r>
        <w:t xml:space="preserve"> Annual Work Plan Summary</w:t>
      </w:r>
      <w:bookmarkEnd w:id="0"/>
    </w:p>
    <w:p w14:paraId="0D8652D7" w14:textId="456ECDB7" w:rsidR="009A5485" w:rsidRPr="009A5485" w:rsidRDefault="00CB59BB" w:rsidP="009A5485">
      <w:r w:rsidRPr="00CB59BB">
        <w:rPr>
          <w:noProof/>
        </w:rPr>
        <w:drawing>
          <wp:inline distT="0" distB="0" distL="0" distR="0" wp14:anchorId="7E996A82" wp14:editId="7C30BF73">
            <wp:extent cx="8692895" cy="608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2895" cy="6084000"/>
                    </a:xfrm>
                    <a:prstGeom prst="rect">
                      <a:avLst/>
                    </a:prstGeom>
                    <a:noFill/>
                    <a:ln>
                      <a:noFill/>
                    </a:ln>
                  </pic:spPr>
                </pic:pic>
              </a:graphicData>
            </a:graphic>
          </wp:inline>
        </w:drawing>
      </w:r>
    </w:p>
    <w:p w14:paraId="7524C743" w14:textId="77777777" w:rsidR="00BD7240" w:rsidRPr="00BD7240" w:rsidRDefault="00BD7240" w:rsidP="00BD7240">
      <w:pPr>
        <w:sectPr w:rsidR="00BD7240" w:rsidRPr="00BD7240" w:rsidSect="00BD7240">
          <w:pgSz w:w="16840" w:h="11900" w:orient="landscape" w:code="9"/>
          <w:pgMar w:top="907" w:right="965" w:bottom="907" w:left="850" w:header="720" w:footer="720" w:gutter="0"/>
          <w:cols w:space="720"/>
          <w:titlePg/>
          <w:docGrid w:linePitch="360"/>
        </w:sectPr>
      </w:pPr>
    </w:p>
    <w:p w14:paraId="1EFD4848" w14:textId="6E7DD2E3" w:rsidR="005867A1" w:rsidRDefault="005262DE" w:rsidP="005867A1">
      <w:pPr>
        <w:pStyle w:val="Heading1"/>
      </w:pPr>
      <w:bookmarkStart w:id="1" w:name="_Toc88030654"/>
      <w:r>
        <w:lastRenderedPageBreak/>
        <w:t>202</w:t>
      </w:r>
      <w:r w:rsidR="00FE07A9">
        <w:t>2</w:t>
      </w:r>
      <w:r>
        <w:t xml:space="preserve"> AWP k</w:t>
      </w:r>
      <w:r w:rsidR="005867A1">
        <w:t>ey reference document</w:t>
      </w:r>
      <w:bookmarkEnd w:id="1"/>
    </w:p>
    <w:p w14:paraId="75CABE35" w14:textId="0BEAB11F" w:rsidR="00806827" w:rsidRDefault="00806827" w:rsidP="00806827">
      <w:r>
        <w:t xml:space="preserve">Document titled </w:t>
      </w:r>
      <w:r w:rsidR="00FE07A9">
        <w:t>‘</w:t>
      </w:r>
      <w:hyperlink r:id="rId10" w:history="1">
        <w:r w:rsidR="00FE07A9" w:rsidRPr="00FE07A9">
          <w:rPr>
            <w:rStyle w:val="Hyperlink"/>
          </w:rPr>
          <w:t>PACSTAT AWP 2022 v1</w:t>
        </w:r>
      </w:hyperlink>
      <w:r w:rsidR="00FE07A9">
        <w:t xml:space="preserve">’ </w:t>
      </w:r>
      <w:r>
        <w:t>contains the following worksheets:</w:t>
      </w:r>
    </w:p>
    <w:p w14:paraId="7DEFDF1A" w14:textId="77777777" w:rsidR="00806827" w:rsidRDefault="00806827" w:rsidP="00806827">
      <w:pPr>
        <w:pStyle w:val="ListParagraph"/>
        <w:numPr>
          <w:ilvl w:val="0"/>
          <w:numId w:val="1"/>
        </w:numPr>
      </w:pPr>
      <w:r>
        <w:t>‘AWP’: this is a GANTT chart of planned activities, which references:</w:t>
      </w:r>
    </w:p>
    <w:p w14:paraId="764EDF5B" w14:textId="77777777" w:rsidR="00806827" w:rsidRDefault="00806827" w:rsidP="00806827">
      <w:pPr>
        <w:pStyle w:val="ListParagraph"/>
        <w:numPr>
          <w:ilvl w:val="1"/>
          <w:numId w:val="1"/>
        </w:numPr>
      </w:pPr>
      <w:r>
        <w:t>Budget</w:t>
      </w:r>
    </w:p>
    <w:p w14:paraId="4ADB8A16" w14:textId="77777777" w:rsidR="00806827" w:rsidRDefault="00806827" w:rsidP="00806827">
      <w:pPr>
        <w:pStyle w:val="ListParagraph"/>
        <w:numPr>
          <w:ilvl w:val="1"/>
          <w:numId w:val="1"/>
        </w:numPr>
      </w:pPr>
      <w:r>
        <w:t>Category of expenditure as per the FA</w:t>
      </w:r>
    </w:p>
    <w:p w14:paraId="634D5AB6" w14:textId="77777777" w:rsidR="00806827" w:rsidRDefault="0097679A" w:rsidP="00806827">
      <w:pPr>
        <w:pStyle w:val="ListParagraph"/>
        <w:numPr>
          <w:ilvl w:val="1"/>
          <w:numId w:val="1"/>
        </w:numPr>
      </w:pPr>
      <w:r>
        <w:t>P</w:t>
      </w:r>
      <w:r w:rsidR="00806827">
        <w:t>roject development objective indicators</w:t>
      </w:r>
    </w:p>
    <w:p w14:paraId="299DE776" w14:textId="77777777" w:rsidR="00806827" w:rsidRDefault="00806827" w:rsidP="00806827">
      <w:pPr>
        <w:pStyle w:val="ListParagraph"/>
        <w:numPr>
          <w:ilvl w:val="1"/>
          <w:numId w:val="1"/>
        </w:numPr>
      </w:pPr>
      <w:r>
        <w:t>Deliverable</w:t>
      </w:r>
    </w:p>
    <w:p w14:paraId="29C57090" w14:textId="77777777" w:rsidR="00806827" w:rsidRDefault="00806827" w:rsidP="00806827">
      <w:pPr>
        <w:pStyle w:val="ListParagraph"/>
        <w:numPr>
          <w:ilvl w:val="1"/>
          <w:numId w:val="1"/>
        </w:numPr>
      </w:pPr>
      <w:r>
        <w:t>Timing of implementation</w:t>
      </w:r>
      <w:r w:rsidR="005D597B">
        <w:t>.</w:t>
      </w:r>
    </w:p>
    <w:p w14:paraId="2DC6A795" w14:textId="4EBF276A" w:rsidR="00E97AA8" w:rsidRDefault="00E97AA8" w:rsidP="00806827">
      <w:pPr>
        <w:pStyle w:val="ListParagraph"/>
        <w:numPr>
          <w:ilvl w:val="0"/>
          <w:numId w:val="1"/>
        </w:numPr>
      </w:pPr>
      <w:r>
        <w:t xml:space="preserve">‘Procurement’: </w:t>
      </w:r>
      <w:r w:rsidR="0097679A">
        <w:t xml:space="preserve">list of procurement </w:t>
      </w:r>
      <w:r w:rsidR="00FE07A9">
        <w:t>items corresponding to the 2022 AWP</w:t>
      </w:r>
      <w:r w:rsidR="005D597B">
        <w:t>.</w:t>
      </w:r>
    </w:p>
    <w:p w14:paraId="1657DCC9" w14:textId="4AC063F6" w:rsidR="00FE07A9" w:rsidRDefault="00FE07A9" w:rsidP="00806827">
      <w:pPr>
        <w:pStyle w:val="ListParagraph"/>
        <w:numPr>
          <w:ilvl w:val="0"/>
          <w:numId w:val="1"/>
        </w:numPr>
      </w:pPr>
      <w:r>
        <w:t>‘Travel’: list of planned travel corresponding to the 2022 AWP.</w:t>
      </w:r>
    </w:p>
    <w:p w14:paraId="5ED242F8" w14:textId="30406746" w:rsidR="0097679A" w:rsidRDefault="0097679A" w:rsidP="00806827">
      <w:pPr>
        <w:pStyle w:val="ListParagraph"/>
        <w:numPr>
          <w:ilvl w:val="0"/>
          <w:numId w:val="1"/>
        </w:numPr>
      </w:pPr>
      <w:r>
        <w:t>‘Results framework’: documents the progress to</w:t>
      </w:r>
      <w:r w:rsidR="00FE07A9">
        <w:t>wards</w:t>
      </w:r>
      <w:r>
        <w:t xml:space="preserve"> achieving the PDO</w:t>
      </w:r>
      <w:r w:rsidR="00FE07A9">
        <w:t xml:space="preserve"> and the targets and deliverables corresponding to the 2022 AWP</w:t>
      </w:r>
      <w:r>
        <w:t>.</w:t>
      </w:r>
    </w:p>
    <w:p w14:paraId="43600580" w14:textId="25C8C1E3" w:rsidR="00806827" w:rsidRDefault="00A810D9" w:rsidP="00621E34">
      <w:pPr>
        <w:pStyle w:val="Heading1"/>
      </w:pPr>
      <w:bookmarkStart w:id="2" w:name="_Toc88030655"/>
      <w:r>
        <w:t>202</w:t>
      </w:r>
      <w:r w:rsidR="00A11B36">
        <w:t>2</w:t>
      </w:r>
      <w:r>
        <w:t xml:space="preserve"> k</w:t>
      </w:r>
      <w:r w:rsidR="004D5DC5">
        <w:t xml:space="preserve">ey project activities and </w:t>
      </w:r>
      <w:r w:rsidR="008559B3">
        <w:t>identification of deliverables</w:t>
      </w:r>
      <w:bookmarkEnd w:id="2"/>
    </w:p>
    <w:p w14:paraId="55BFDE6F" w14:textId="4C9D9A22" w:rsidR="004D5DC5" w:rsidRDefault="00A810D9" w:rsidP="00A810D9">
      <w:r>
        <w:t>The above referred Excel spreadsheet provides the 202</w:t>
      </w:r>
      <w:r w:rsidR="00A11B36">
        <w:t>2</w:t>
      </w:r>
      <w:r>
        <w:t xml:space="preserve"> key project activities and associated budget, by Category of the FA, and they are further described below by Component of the PAD.  </w:t>
      </w:r>
    </w:p>
    <w:p w14:paraId="3CC5277C" w14:textId="77777777" w:rsidR="004D5DC5" w:rsidRDefault="004D5DC5" w:rsidP="004D5DC5">
      <w:pPr>
        <w:pStyle w:val="Heading2"/>
      </w:pPr>
      <w:bookmarkStart w:id="3" w:name="_Toc88030656"/>
      <w:r w:rsidRPr="004D5DC5">
        <w:t>Component 1: Pacific Statistics Methods Board (PSMB)</w:t>
      </w:r>
      <w:bookmarkEnd w:id="3"/>
    </w:p>
    <w:p w14:paraId="72888DBF" w14:textId="1D7993EC" w:rsidR="00D72885" w:rsidRPr="00D72885" w:rsidRDefault="00D72885" w:rsidP="00D72885">
      <w:r>
        <w:t xml:space="preserve">The activities proposed herein will </w:t>
      </w:r>
      <w:r w:rsidR="009A5485">
        <w:t xml:space="preserve">be </w:t>
      </w:r>
      <w:r w:rsidR="005267DD">
        <w:t xml:space="preserve">supported by </w:t>
      </w:r>
      <w:r w:rsidR="00A11B36">
        <w:t>two</w:t>
      </w:r>
      <w:r>
        <w:t xml:space="preserve"> Long-Term Consultant</w:t>
      </w:r>
      <w:r w:rsidR="00A11B36">
        <w:t>s</w:t>
      </w:r>
      <w:r>
        <w:t xml:space="preserve"> (Statistics Advisor</w:t>
      </w:r>
      <w:r w:rsidR="00A11B36">
        <w:t xml:space="preserve"> and Welfare Economist</w:t>
      </w:r>
      <w:r>
        <w:t>)</w:t>
      </w:r>
      <w:r w:rsidR="005267DD">
        <w:t xml:space="preserve">.  </w:t>
      </w:r>
    </w:p>
    <w:p w14:paraId="7BB2C016" w14:textId="77777777" w:rsidR="004D5DC5" w:rsidRDefault="004D5DC5" w:rsidP="007F7626">
      <w:pPr>
        <w:pStyle w:val="Heading3"/>
      </w:pPr>
      <w:bookmarkStart w:id="4" w:name="_Toc88030657"/>
      <w:r w:rsidRPr="004D5DC5">
        <w:t>Sub-component 1.1: PSMB Technical Support &amp; Administration</w:t>
      </w:r>
      <w:bookmarkEnd w:id="4"/>
    </w:p>
    <w:p w14:paraId="137FF4D2" w14:textId="77777777" w:rsidR="00C90EBF" w:rsidRDefault="00C90EBF" w:rsidP="007F7626">
      <w:pPr>
        <w:pStyle w:val="Heading4"/>
      </w:pPr>
      <w:r>
        <w:t>Secretariat function to PSMB</w:t>
      </w:r>
    </w:p>
    <w:p w14:paraId="2EDFD443" w14:textId="56590177" w:rsidR="00C90EBF" w:rsidRDefault="00D44FF6" w:rsidP="0096508F">
      <w:r>
        <w:t>Two meetings</w:t>
      </w:r>
      <w:r w:rsidR="009A7B3F">
        <w:t xml:space="preserve"> of the Pacific Statistics Methods Board </w:t>
      </w:r>
      <w:r>
        <w:t>will be carried out in 202</w:t>
      </w:r>
      <w:r w:rsidR="00A11B36">
        <w:t>2</w:t>
      </w:r>
      <w:r>
        <w:t xml:space="preserve"> (</w:t>
      </w:r>
      <w:r w:rsidR="009A7B3F">
        <w:t>April and October 202</w:t>
      </w:r>
      <w:r w:rsidR="00A11B36">
        <w:t>2</w:t>
      </w:r>
      <w:r w:rsidR="00CD754F">
        <w:t>)</w:t>
      </w:r>
      <w:r w:rsidR="009A7B3F">
        <w:t>.</w:t>
      </w:r>
      <w:r w:rsidR="009841E4">
        <w:t xml:space="preserve">  The project will provide Secretariat function to these meetings, </w:t>
      </w:r>
      <w:proofErr w:type="gramStart"/>
      <w:r w:rsidR="009841E4">
        <w:t>including</w:t>
      </w:r>
      <w:r w:rsidR="00CD754F">
        <w:t>:</w:t>
      </w:r>
      <w:proofErr w:type="gramEnd"/>
      <w:r w:rsidR="009841E4">
        <w:t xml:space="preserve"> </w:t>
      </w:r>
      <w:r w:rsidR="00EB0792">
        <w:t>setting the Agenda and inviting international experts</w:t>
      </w:r>
      <w:r w:rsidR="009841E4">
        <w:t xml:space="preserve">; </w:t>
      </w:r>
      <w:r w:rsidR="009841E4" w:rsidRPr="009841E4">
        <w:t>coordinating the papers and reports on Pacific data collection to be reviewed at the PSMB meeting</w:t>
      </w:r>
      <w:r w:rsidR="009841E4">
        <w:t xml:space="preserve">; </w:t>
      </w:r>
      <w:r w:rsidR="009841E4" w:rsidRPr="009841E4">
        <w:t>identifying priority topics for further review at subsequent PSMB meetings</w:t>
      </w:r>
      <w:r w:rsidR="009841E4">
        <w:t>;</w:t>
      </w:r>
      <w:r w:rsidR="009841E4" w:rsidRPr="009841E4">
        <w:t xml:space="preserve"> and summarizing the meeting discussion into formal minutes and recommendations to be circulated to regional NSOs</w:t>
      </w:r>
      <w:r w:rsidR="009841E4">
        <w:t>.</w:t>
      </w:r>
      <w:r w:rsidR="0096508F">
        <w:t xml:space="preserve">  </w:t>
      </w:r>
    </w:p>
    <w:p w14:paraId="5BDEDC1D" w14:textId="325A5DF9" w:rsidR="00C90EBF" w:rsidRDefault="00C90EBF" w:rsidP="00C90EBF">
      <w:r>
        <w:t>In 202</w:t>
      </w:r>
      <w:r w:rsidR="00780357">
        <w:t>2</w:t>
      </w:r>
      <w:r>
        <w:t xml:space="preserve"> and following the process outlined in the POM, the Project will be calling for proposals for:</w:t>
      </w:r>
    </w:p>
    <w:p w14:paraId="0FAF3335" w14:textId="18426A7B" w:rsidR="00C90EBF" w:rsidRDefault="00780357" w:rsidP="00C90EBF">
      <w:pPr>
        <w:pStyle w:val="ListParagraph"/>
        <w:numPr>
          <w:ilvl w:val="0"/>
          <w:numId w:val="3"/>
        </w:numPr>
      </w:pPr>
      <w:r>
        <w:t>April</w:t>
      </w:r>
      <w:r w:rsidR="00C90EBF">
        <w:t xml:space="preserve"> 202</w:t>
      </w:r>
      <w:r>
        <w:t>2</w:t>
      </w:r>
      <w:r w:rsidR="00C90EBF">
        <w:t xml:space="preserve">: PSMB Commissioned Work </w:t>
      </w:r>
      <w:r>
        <w:t xml:space="preserve">3, 4 and </w:t>
      </w:r>
      <w:proofErr w:type="gramStart"/>
      <w:r>
        <w:t>5</w:t>
      </w:r>
      <w:r w:rsidR="00C90EBF">
        <w:t>;</w:t>
      </w:r>
      <w:proofErr w:type="gramEnd"/>
    </w:p>
    <w:p w14:paraId="0804E9E4" w14:textId="77777777" w:rsidR="00780357" w:rsidRDefault="00780357" w:rsidP="00C90EBF">
      <w:pPr>
        <w:pStyle w:val="ListParagraph"/>
        <w:numPr>
          <w:ilvl w:val="0"/>
          <w:numId w:val="3"/>
        </w:numPr>
      </w:pPr>
      <w:r>
        <w:t xml:space="preserve">April 2022: </w:t>
      </w:r>
      <w:r w:rsidR="00C90EBF">
        <w:t>Innovative Experiment</w:t>
      </w:r>
      <w:r>
        <w:t xml:space="preserve">s 3 and </w:t>
      </w:r>
      <w:proofErr w:type="gramStart"/>
      <w:r>
        <w:t>4;</w:t>
      </w:r>
      <w:proofErr w:type="gramEnd"/>
    </w:p>
    <w:p w14:paraId="4694982F" w14:textId="4290331A" w:rsidR="00780357" w:rsidRDefault="00780357" w:rsidP="00780357">
      <w:pPr>
        <w:pStyle w:val="ListParagraph"/>
        <w:numPr>
          <w:ilvl w:val="0"/>
          <w:numId w:val="3"/>
        </w:numPr>
      </w:pPr>
      <w:r>
        <w:t>October 2022: PSMB Commissioned Work 4 and 5, if not yet identified; and</w:t>
      </w:r>
    </w:p>
    <w:p w14:paraId="4F4C3698" w14:textId="0145C233" w:rsidR="00C90EBF" w:rsidRPr="009A7B3F" w:rsidRDefault="00780357" w:rsidP="00780357">
      <w:pPr>
        <w:pStyle w:val="ListParagraph"/>
        <w:numPr>
          <w:ilvl w:val="0"/>
          <w:numId w:val="3"/>
        </w:numPr>
      </w:pPr>
      <w:r>
        <w:t>October 2022: Innovative Experiments 3 and 4, if not yet identified.</w:t>
      </w:r>
    </w:p>
    <w:p w14:paraId="39D743DB" w14:textId="77777777" w:rsidR="00C90EBF" w:rsidRDefault="00C90EBF" w:rsidP="007F7626">
      <w:pPr>
        <w:pStyle w:val="Heading4"/>
      </w:pPr>
      <w:r>
        <w:t>PSMB Commissioned Work</w:t>
      </w:r>
    </w:p>
    <w:p w14:paraId="1252EBD9" w14:textId="6B9482CE" w:rsidR="007962B8" w:rsidRDefault="00012A90" w:rsidP="00C90EBF">
      <w:r>
        <w:t>Noting that the first PSMB Commissioned Work (microdata dissemination) started in 2021, t</w:t>
      </w:r>
      <w:r w:rsidR="007962B8">
        <w:t xml:space="preserve">wo PSMB Commissioned </w:t>
      </w:r>
      <w:r>
        <w:t>W</w:t>
      </w:r>
      <w:r w:rsidR="007962B8">
        <w:t>ork will be carried out in 202</w:t>
      </w:r>
      <w:r>
        <w:t>2</w:t>
      </w:r>
      <w:r w:rsidR="007962B8">
        <w:t xml:space="preserve">.  </w:t>
      </w:r>
    </w:p>
    <w:p w14:paraId="3D0D0753" w14:textId="77777777" w:rsidR="00012A90" w:rsidRDefault="00C90EBF" w:rsidP="00012A90">
      <w:r>
        <w:t xml:space="preserve">In </w:t>
      </w:r>
      <w:r w:rsidR="00012A90">
        <w:t>January</w:t>
      </w:r>
      <w:r>
        <w:t xml:space="preserve"> 202</w:t>
      </w:r>
      <w:r w:rsidR="00012A90">
        <w:t>2</w:t>
      </w:r>
      <w:r>
        <w:t>, it is proposed that the PSMB Commissioned Work</w:t>
      </w:r>
      <w:r w:rsidR="00012A90">
        <w:t xml:space="preserve"> 2 is started.  Noting that only one proposal was received in the first call for proposals that occurred prior to the PSMB meeting in October 2021, the subject of PSMB Commissioned Work 2 is undefined.  PSMB Commissioned Work 3 is scheduled to start in May 2022, which will follow the April meeting of PSMB and will allow for another round of calls for proposals</w:t>
      </w:r>
      <w:r w:rsidR="007C192F">
        <w:t>.</w:t>
      </w:r>
    </w:p>
    <w:p w14:paraId="7BF2F7A2" w14:textId="356CFE02" w:rsidR="008D0092" w:rsidRDefault="00012A90" w:rsidP="008D0092">
      <w:r>
        <w:t xml:space="preserve">PSMB Commissioned Work 2 is </w:t>
      </w:r>
      <w:r w:rsidR="008D0092">
        <w:t xml:space="preserve">to be conducted over the period of </w:t>
      </w:r>
      <w:r>
        <w:t>January to October 2022; PSMB Commissioned Work 3 is to be conducted over the period of May to October 2022.</w:t>
      </w:r>
    </w:p>
    <w:p w14:paraId="7B42A4D4" w14:textId="705F291B" w:rsidR="007015F2" w:rsidRDefault="007015F2" w:rsidP="007015F2">
      <w:r>
        <w:t xml:space="preserve">Under Sub-component 1.1, </w:t>
      </w:r>
      <w:r w:rsidR="009A7736">
        <w:t xml:space="preserve">in 2022 </w:t>
      </w:r>
      <w:r>
        <w:t>the Project will deliver:</w:t>
      </w:r>
    </w:p>
    <w:tbl>
      <w:tblPr>
        <w:tblStyle w:val="TableGrid"/>
        <w:tblW w:w="0" w:type="auto"/>
        <w:tblLook w:val="04A0" w:firstRow="1" w:lastRow="0" w:firstColumn="1" w:lastColumn="0" w:noHBand="0" w:noVBand="1"/>
      </w:tblPr>
      <w:tblGrid>
        <w:gridCol w:w="4546"/>
        <w:gridCol w:w="1493"/>
        <w:gridCol w:w="1267"/>
        <w:gridCol w:w="1469"/>
        <w:gridCol w:w="1256"/>
      </w:tblGrid>
      <w:tr w:rsidR="0051168C" w14:paraId="6213721C" w14:textId="77777777" w:rsidTr="00DB3EE6">
        <w:tc>
          <w:tcPr>
            <w:tcW w:w="0" w:type="auto"/>
          </w:tcPr>
          <w:p w14:paraId="46BA5FBD" w14:textId="77777777" w:rsidR="0051168C" w:rsidRPr="0096508F" w:rsidRDefault="0051168C" w:rsidP="00097CFD">
            <w:pPr>
              <w:rPr>
                <w:b/>
              </w:rPr>
            </w:pPr>
            <w:r>
              <w:rPr>
                <w:b/>
              </w:rPr>
              <w:t>Deliverable</w:t>
            </w:r>
          </w:p>
        </w:tc>
        <w:tc>
          <w:tcPr>
            <w:tcW w:w="0" w:type="auto"/>
          </w:tcPr>
          <w:p w14:paraId="76F79FE9" w14:textId="77777777" w:rsidR="0051168C" w:rsidRPr="0096508F" w:rsidRDefault="0051168C" w:rsidP="00097CFD">
            <w:pPr>
              <w:rPr>
                <w:b/>
              </w:rPr>
            </w:pPr>
            <w:r>
              <w:rPr>
                <w:b/>
              </w:rPr>
              <w:t>PD</w:t>
            </w:r>
            <w:r w:rsidRPr="0096508F">
              <w:rPr>
                <w:b/>
              </w:rPr>
              <w:t>O Indicator</w:t>
            </w:r>
          </w:p>
        </w:tc>
        <w:tc>
          <w:tcPr>
            <w:tcW w:w="0" w:type="auto"/>
          </w:tcPr>
          <w:p w14:paraId="14BEAE13" w14:textId="08E38A5C" w:rsidR="0051168C" w:rsidRPr="0096508F" w:rsidRDefault="0051168C" w:rsidP="00097CFD">
            <w:pPr>
              <w:rPr>
                <w:b/>
              </w:rPr>
            </w:pPr>
            <w:r w:rsidRPr="0096508F">
              <w:rPr>
                <w:b/>
              </w:rPr>
              <w:t>202</w:t>
            </w:r>
            <w:r>
              <w:rPr>
                <w:b/>
              </w:rPr>
              <w:t>2</w:t>
            </w:r>
            <w:r w:rsidRPr="0096508F">
              <w:rPr>
                <w:b/>
              </w:rPr>
              <w:t xml:space="preserve"> target</w:t>
            </w:r>
          </w:p>
        </w:tc>
        <w:tc>
          <w:tcPr>
            <w:tcW w:w="0" w:type="auto"/>
          </w:tcPr>
          <w:p w14:paraId="7228CF43" w14:textId="77777777" w:rsidR="0051168C" w:rsidRPr="0096508F" w:rsidRDefault="0051168C" w:rsidP="00097CFD">
            <w:pPr>
              <w:rPr>
                <w:b/>
              </w:rPr>
            </w:pPr>
            <w:r w:rsidRPr="0096508F">
              <w:rPr>
                <w:b/>
              </w:rPr>
              <w:t>Project target</w:t>
            </w:r>
          </w:p>
        </w:tc>
        <w:tc>
          <w:tcPr>
            <w:tcW w:w="0" w:type="auto"/>
          </w:tcPr>
          <w:p w14:paraId="22A43EAB" w14:textId="77777777" w:rsidR="0051168C" w:rsidRPr="0096508F" w:rsidRDefault="0051168C" w:rsidP="00097CFD">
            <w:pPr>
              <w:rPr>
                <w:b/>
              </w:rPr>
            </w:pPr>
            <w:r w:rsidRPr="0096508F">
              <w:rPr>
                <w:b/>
              </w:rPr>
              <w:t>Cumulative</w:t>
            </w:r>
          </w:p>
        </w:tc>
      </w:tr>
      <w:tr w:rsidR="0051168C" w14:paraId="043B840F" w14:textId="77777777" w:rsidTr="00DB3EE6">
        <w:tc>
          <w:tcPr>
            <w:tcW w:w="0" w:type="auto"/>
          </w:tcPr>
          <w:p w14:paraId="1F0D8E24" w14:textId="77777777" w:rsidR="0051168C" w:rsidRDefault="0051168C" w:rsidP="00D264A1">
            <w:r>
              <w:t>PSMB meeting reports</w:t>
            </w:r>
          </w:p>
        </w:tc>
        <w:tc>
          <w:tcPr>
            <w:tcW w:w="0" w:type="auto"/>
          </w:tcPr>
          <w:p w14:paraId="6612B91E" w14:textId="77777777" w:rsidR="0051168C" w:rsidRDefault="0051168C" w:rsidP="00097CFD">
            <w:r>
              <w:t>3.1</w:t>
            </w:r>
          </w:p>
        </w:tc>
        <w:tc>
          <w:tcPr>
            <w:tcW w:w="0" w:type="auto"/>
          </w:tcPr>
          <w:p w14:paraId="77549D05" w14:textId="77777777" w:rsidR="0051168C" w:rsidRDefault="0051168C" w:rsidP="00097CFD">
            <w:r>
              <w:t>2</w:t>
            </w:r>
          </w:p>
        </w:tc>
        <w:tc>
          <w:tcPr>
            <w:tcW w:w="0" w:type="auto"/>
          </w:tcPr>
          <w:p w14:paraId="0418C2F4" w14:textId="77777777" w:rsidR="0051168C" w:rsidRDefault="0051168C" w:rsidP="00097CFD">
            <w:r>
              <w:t>10</w:t>
            </w:r>
          </w:p>
        </w:tc>
        <w:tc>
          <w:tcPr>
            <w:tcW w:w="0" w:type="auto"/>
          </w:tcPr>
          <w:p w14:paraId="44FBC11D" w14:textId="4902E6D0" w:rsidR="0051168C" w:rsidRDefault="0051168C" w:rsidP="00097CFD">
            <w:r>
              <w:t>3</w:t>
            </w:r>
          </w:p>
        </w:tc>
      </w:tr>
      <w:tr w:rsidR="0051168C" w14:paraId="66AEC3B5" w14:textId="77777777" w:rsidTr="00DB3EE6">
        <w:tc>
          <w:tcPr>
            <w:tcW w:w="0" w:type="auto"/>
          </w:tcPr>
          <w:p w14:paraId="7A45EA4B" w14:textId="2FE4D4DB" w:rsidR="0051168C" w:rsidRDefault="0051168C" w:rsidP="00BB0B35">
            <w:r>
              <w:t>Reports of PSMB Commissioned Work 1, 2 and 3</w:t>
            </w:r>
          </w:p>
        </w:tc>
        <w:tc>
          <w:tcPr>
            <w:tcW w:w="0" w:type="auto"/>
          </w:tcPr>
          <w:p w14:paraId="673A3DF3" w14:textId="77777777" w:rsidR="0051168C" w:rsidRDefault="0051168C" w:rsidP="00BB0B35">
            <w:r>
              <w:t>3.2</w:t>
            </w:r>
          </w:p>
        </w:tc>
        <w:tc>
          <w:tcPr>
            <w:tcW w:w="0" w:type="auto"/>
          </w:tcPr>
          <w:p w14:paraId="4067731C" w14:textId="789CF539" w:rsidR="0051168C" w:rsidRDefault="0051168C" w:rsidP="00BB0B35">
            <w:r>
              <w:t>3</w:t>
            </w:r>
          </w:p>
        </w:tc>
        <w:tc>
          <w:tcPr>
            <w:tcW w:w="0" w:type="auto"/>
          </w:tcPr>
          <w:p w14:paraId="5BB7DF39" w14:textId="77777777" w:rsidR="0051168C" w:rsidRDefault="0051168C" w:rsidP="00BB0B35">
            <w:r>
              <w:t>5</w:t>
            </w:r>
          </w:p>
        </w:tc>
        <w:tc>
          <w:tcPr>
            <w:tcW w:w="0" w:type="auto"/>
          </w:tcPr>
          <w:p w14:paraId="37FB76AF" w14:textId="3878944D" w:rsidR="0051168C" w:rsidRDefault="0051168C" w:rsidP="00BB0B35">
            <w:r>
              <w:t>0</w:t>
            </w:r>
          </w:p>
        </w:tc>
      </w:tr>
    </w:tbl>
    <w:p w14:paraId="73B1C271" w14:textId="77777777" w:rsidR="007015F2" w:rsidRDefault="007015F2" w:rsidP="00C90EBF"/>
    <w:p w14:paraId="057D6270" w14:textId="53C6F94D" w:rsidR="00D72885" w:rsidRDefault="004A53AD" w:rsidP="00D72885">
      <w:pPr>
        <w:pStyle w:val="Heading3"/>
      </w:pPr>
      <w:bookmarkStart w:id="5" w:name="_Toc88030658"/>
      <w:r w:rsidRPr="004D5DC5">
        <w:lastRenderedPageBreak/>
        <w:t>Sub-component 1.2: Dissemination &amp; Training</w:t>
      </w:r>
      <w:bookmarkEnd w:id="5"/>
    </w:p>
    <w:p w14:paraId="6809C8D3" w14:textId="77777777" w:rsidR="001F2A76" w:rsidRDefault="001F2A76" w:rsidP="001F2A76">
      <w:pPr>
        <w:pStyle w:val="Heading4"/>
      </w:pPr>
      <w:r>
        <w:t>Regional conference</w:t>
      </w:r>
    </w:p>
    <w:p w14:paraId="5A6A4488" w14:textId="3BBF66E6" w:rsidR="001F2A76" w:rsidRDefault="001F2A76" w:rsidP="001F2A76">
      <w:r>
        <w:t>Since PSMB’s establishment, HIES and Poverty methods (incl. multidimensional) have frequently been on the agenda and PSMB has made numerous specific recommendations that are of global relevance, however they are yet to widely communicated</w:t>
      </w:r>
      <w:r w:rsidR="00297F89">
        <w:t xml:space="preserve"> to Pacific statistics stakeholders</w:t>
      </w:r>
      <w:r>
        <w:t xml:space="preserve">.  </w:t>
      </w:r>
      <w:r w:rsidR="00297F89">
        <w:t>In</w:t>
      </w:r>
      <w:r>
        <w:t xml:space="preserve"> 202</w:t>
      </w:r>
      <w:r w:rsidR="00297F89">
        <w:t>2</w:t>
      </w:r>
      <w:r>
        <w:t>, the Project will conduct two Regional Conferences</w:t>
      </w:r>
      <w:r w:rsidR="00297F89">
        <w:t>, including</w:t>
      </w:r>
      <w:r>
        <w:t>:</w:t>
      </w:r>
    </w:p>
    <w:p w14:paraId="39D3F53E" w14:textId="77777777" w:rsidR="001F2A76" w:rsidRDefault="001F2A76" w:rsidP="001F2A76">
      <w:pPr>
        <w:pStyle w:val="ListParagraph"/>
        <w:numPr>
          <w:ilvl w:val="0"/>
          <w:numId w:val="10"/>
        </w:numPr>
      </w:pPr>
      <w:r w:rsidRPr="00297F89">
        <w:rPr>
          <w:i/>
          <w:iCs/>
        </w:rPr>
        <w:t>PSMB recommendation for the conduct of HIES in the Pacific region</w:t>
      </w:r>
      <w:r>
        <w:t>: 7-day recall, CAPI, FAFH, partakers, labour, FIES, anthropometric, sampling, field schedule, etc.</w:t>
      </w:r>
    </w:p>
    <w:p w14:paraId="13740B37" w14:textId="1A20E5CB" w:rsidR="001F2A76" w:rsidRDefault="001F2A76" w:rsidP="001F2A76">
      <w:pPr>
        <w:pStyle w:val="ListParagraph"/>
        <w:numPr>
          <w:ilvl w:val="0"/>
          <w:numId w:val="10"/>
        </w:numPr>
      </w:pPr>
      <w:r w:rsidRPr="00297F89">
        <w:rPr>
          <w:i/>
          <w:iCs/>
        </w:rPr>
        <w:t>PSMB recommend</w:t>
      </w:r>
      <w:r w:rsidR="00297F89">
        <w:rPr>
          <w:i/>
          <w:iCs/>
        </w:rPr>
        <w:t>ed methodology</w:t>
      </w:r>
      <w:r w:rsidRPr="00297F89">
        <w:rPr>
          <w:i/>
          <w:iCs/>
        </w:rPr>
        <w:t xml:space="preserve"> for poverty assessment in the Pacific region</w:t>
      </w:r>
      <w:r>
        <w:t>: use value of assets, imputed rents, deflators, monetary, non-monetary, multidimensional, etc.</w:t>
      </w:r>
    </w:p>
    <w:p w14:paraId="65DEFF97" w14:textId="77777777" w:rsidR="001F2A76" w:rsidRDefault="001F2A76" w:rsidP="001F2A76">
      <w:pPr>
        <w:pStyle w:val="Heading4"/>
      </w:pPr>
      <w:r>
        <w:t>National (and sub-regional) workshops</w:t>
      </w:r>
    </w:p>
    <w:p w14:paraId="3700300E" w14:textId="5006E1F3" w:rsidR="001F2A76" w:rsidRDefault="001F2A76" w:rsidP="001F2A76">
      <w:r>
        <w:t>The PAD suggests th</w:t>
      </w:r>
      <w:r w:rsidR="00AE4C66">
        <w:t>e</w:t>
      </w:r>
      <w:r>
        <w:t xml:space="preserve"> need for Dissemination and Training activities (and the topics for the National Workshops) can be guided by where countries are in relation to their survey cycle.  As such, proposed activities in the 202</w:t>
      </w:r>
      <w:r w:rsidR="00AE4C66">
        <w:t>2</w:t>
      </w:r>
      <w:r>
        <w:t xml:space="preserve"> AWP have been selected based on where Pacific countries are in relation to implementation of </w:t>
      </w:r>
      <w:r w:rsidR="00AE4C66">
        <w:t>Household Income and Expenditure Surveys (</w:t>
      </w:r>
      <w:r>
        <w:t>HIES</w:t>
      </w:r>
      <w:r w:rsidR="00AE4C66">
        <w:t>)</w:t>
      </w:r>
      <w:r>
        <w:t xml:space="preserve">.  Over the coming </w:t>
      </w:r>
      <w:r w:rsidR="00AE4C66">
        <w:t>12</w:t>
      </w:r>
      <w:r>
        <w:t>-months the Pacific HIES cycle is as follows:</w:t>
      </w:r>
    </w:p>
    <w:p w14:paraId="1D4047A7" w14:textId="00BA8BB9" w:rsidR="001F2A76" w:rsidRDefault="001F2A76" w:rsidP="001F2A76">
      <w:pPr>
        <w:pStyle w:val="ListParagraph"/>
        <w:numPr>
          <w:ilvl w:val="0"/>
          <w:numId w:val="9"/>
        </w:numPr>
      </w:pPr>
      <w:r>
        <w:t xml:space="preserve">Planning: 2022: Micronesia (FS) </w:t>
      </w:r>
      <w:r w:rsidRPr="00561EDE">
        <w:t xml:space="preserve">Nauru, Palau, PNG, Tuvalu, </w:t>
      </w:r>
      <w:r w:rsidR="0065072E">
        <w:t xml:space="preserve">Solomon Islands, </w:t>
      </w:r>
      <w:r>
        <w:t>CNMI*; 2023+: Kiribati, Samoa, Vanuatu</w:t>
      </w:r>
    </w:p>
    <w:p w14:paraId="46099ED8" w14:textId="2C06B62E" w:rsidR="001F2A76" w:rsidRDefault="001F2A76" w:rsidP="001F2A76">
      <w:pPr>
        <w:pStyle w:val="ListParagraph"/>
        <w:numPr>
          <w:ilvl w:val="0"/>
          <w:numId w:val="9"/>
        </w:numPr>
      </w:pPr>
      <w:r>
        <w:t xml:space="preserve">In-the-field: </w:t>
      </w:r>
      <w:r w:rsidR="00AE4C66">
        <w:t xml:space="preserve">2021: </w:t>
      </w:r>
      <w:r>
        <w:t>Tonga</w:t>
      </w:r>
    </w:p>
    <w:p w14:paraId="7A1FA1C0" w14:textId="6E945234" w:rsidR="001F2A76" w:rsidRDefault="001F2A76" w:rsidP="001F2A76">
      <w:pPr>
        <w:pStyle w:val="ListParagraph"/>
        <w:numPr>
          <w:ilvl w:val="0"/>
          <w:numId w:val="9"/>
        </w:numPr>
      </w:pPr>
      <w:r>
        <w:t xml:space="preserve">Data processing: </w:t>
      </w:r>
      <w:r w:rsidR="00AE4C66">
        <w:t>2022: Tonga</w:t>
      </w:r>
    </w:p>
    <w:p w14:paraId="2A8D486C" w14:textId="77777777" w:rsidR="001F2A76" w:rsidRDefault="001F2A76" w:rsidP="001F2A76">
      <w:pPr>
        <w:pStyle w:val="ListParagraph"/>
        <w:numPr>
          <w:ilvl w:val="0"/>
          <w:numId w:val="9"/>
        </w:numPr>
      </w:pPr>
      <w:r>
        <w:t>Analysis, reporting and dissemination: Vanuatu (2019), Kiribati (2019), Marshall Islands (2019), New Caledonia*</w:t>
      </w:r>
    </w:p>
    <w:p w14:paraId="092032E0" w14:textId="2DA7E2B1" w:rsidR="001F2A76" w:rsidRPr="0065072E" w:rsidRDefault="001F2A76" w:rsidP="0065072E">
      <w:pPr>
        <w:rPr>
          <w:i/>
        </w:rPr>
      </w:pPr>
      <w:r w:rsidRPr="0065072E">
        <w:rPr>
          <w:i/>
        </w:rPr>
        <w:t>*</w:t>
      </w:r>
      <w:proofErr w:type="gramStart"/>
      <w:r w:rsidRPr="0065072E">
        <w:rPr>
          <w:i/>
        </w:rPr>
        <w:t>it</w:t>
      </w:r>
      <w:proofErr w:type="gramEnd"/>
      <w:r w:rsidRPr="0065072E">
        <w:rPr>
          <w:i/>
        </w:rPr>
        <w:t xml:space="preserve"> is acknowledged that non-IDA territories cannot benefit from funding, however SPC would endeavour to provide opportunity for all of its members to observe and learn from PACSTAT-related activities.  SPC will ensure that participation of non-IDA members is cost neutral to the Project.</w:t>
      </w:r>
    </w:p>
    <w:p w14:paraId="334C7479" w14:textId="1FDD6B3F" w:rsidR="001F2A76" w:rsidRDefault="001F2A76" w:rsidP="001F2A76">
      <w:r>
        <w:t>Based on the above, over the period of 202</w:t>
      </w:r>
      <w:r w:rsidR="0065072E">
        <w:t>2</w:t>
      </w:r>
      <w:r>
        <w:t xml:space="preserve"> there is need for Dissemination and Training activities relating to: i. survey planning; ii. </w:t>
      </w:r>
      <w:r w:rsidR="0065072E">
        <w:t xml:space="preserve">data processing; and iii. </w:t>
      </w:r>
      <w:r>
        <w:t>analysis, reporting and dissemination.  It is therefore proposed that the following National (or Sub-Regional) are held in 202</w:t>
      </w:r>
      <w:r w:rsidR="0065072E">
        <w:t>2</w:t>
      </w:r>
      <w:r>
        <w:t>:</w:t>
      </w:r>
    </w:p>
    <w:p w14:paraId="171D092C" w14:textId="3BDB29B2" w:rsidR="001F2A76" w:rsidRDefault="001F2A76" w:rsidP="001F2A76">
      <w:pPr>
        <w:pStyle w:val="ListParagraph"/>
        <w:numPr>
          <w:ilvl w:val="0"/>
          <w:numId w:val="8"/>
        </w:numPr>
      </w:pPr>
      <w:r>
        <w:t xml:space="preserve">Sampling and survey planning (incl. CAPI): </w:t>
      </w:r>
      <w:r w:rsidRPr="00DD4E8C">
        <w:t>Micronesia (FS) Nauru, Palau, PNG, Tuvalu, CNMI</w:t>
      </w:r>
      <w:r w:rsidR="0065072E">
        <w:t>,</w:t>
      </w:r>
      <w:r w:rsidRPr="00DD4E8C">
        <w:t xml:space="preserve"> Kiribati, Samoa, Vanuatu</w:t>
      </w:r>
      <w:r w:rsidR="0065072E">
        <w:t>, Solomon Islands</w:t>
      </w:r>
    </w:p>
    <w:p w14:paraId="7783FE03" w14:textId="6BC5DDAA" w:rsidR="0065072E" w:rsidRDefault="0065072E" w:rsidP="001F2A76">
      <w:pPr>
        <w:pStyle w:val="ListParagraph"/>
        <w:numPr>
          <w:ilvl w:val="0"/>
          <w:numId w:val="8"/>
        </w:numPr>
      </w:pPr>
      <w:r>
        <w:t>HIES data processing: Tonga</w:t>
      </w:r>
    </w:p>
    <w:p w14:paraId="4FF58DD6" w14:textId="7F3FE191" w:rsidR="001F2A76" w:rsidRDefault="001F2A76" w:rsidP="001F2A76">
      <w:pPr>
        <w:pStyle w:val="ListParagraph"/>
        <w:numPr>
          <w:ilvl w:val="0"/>
          <w:numId w:val="8"/>
        </w:numPr>
      </w:pPr>
      <w:r>
        <w:t xml:space="preserve">Analysis, reporting and dissemination (incl. Stata): </w:t>
      </w:r>
      <w:r w:rsidRPr="00DD4E8C">
        <w:t>Vanuatu, Kiribati, Marshall Islands, New Caledonia</w:t>
      </w:r>
    </w:p>
    <w:p w14:paraId="3636200E" w14:textId="77777777" w:rsidR="00F60645" w:rsidRDefault="00F60645" w:rsidP="00F60645">
      <w:pPr>
        <w:pStyle w:val="Heading4"/>
      </w:pPr>
      <w:r>
        <w:t>PSMB Guidance Notes</w:t>
      </w:r>
    </w:p>
    <w:p w14:paraId="2B189AE0" w14:textId="61FEDF19" w:rsidR="009176D7" w:rsidRDefault="00F60645" w:rsidP="00F60645">
      <w:r>
        <w:t>Based on the recommendation by PSMB on the review of the report of PSMB Commissioned Work 1 (</w:t>
      </w:r>
      <w:r w:rsidR="0099344B">
        <w:t>microdata dissemination</w:t>
      </w:r>
      <w:r>
        <w:t>) and on previous recommendation by PSMB on the method for conducting HIES in the Pacific, t</w:t>
      </w:r>
      <w:r w:rsidR="009176D7">
        <w:t>hree</w:t>
      </w:r>
      <w:r>
        <w:t xml:space="preserve"> PSMB Guidance notes will be produced in 202</w:t>
      </w:r>
      <w:r w:rsidR="009176D7">
        <w:t>2</w:t>
      </w:r>
      <w:r>
        <w:t>.</w:t>
      </w:r>
      <w:r w:rsidR="009176D7">
        <w:t xml:space="preserve">  These include:</w:t>
      </w:r>
    </w:p>
    <w:p w14:paraId="09C19F12" w14:textId="4B779F5F" w:rsidR="009176D7" w:rsidRDefault="009176D7" w:rsidP="009176D7">
      <w:pPr>
        <w:pStyle w:val="ListParagraph"/>
        <w:numPr>
          <w:ilvl w:val="0"/>
          <w:numId w:val="29"/>
        </w:numPr>
      </w:pPr>
      <w:r>
        <w:t>PSMB Commissioned Work 1: Microdata dissemination</w:t>
      </w:r>
    </w:p>
    <w:p w14:paraId="4729CAD1" w14:textId="54599B8D" w:rsidR="009176D7" w:rsidRDefault="009176D7" w:rsidP="009176D7">
      <w:pPr>
        <w:pStyle w:val="ListParagraph"/>
        <w:numPr>
          <w:ilvl w:val="0"/>
          <w:numId w:val="29"/>
        </w:numPr>
      </w:pPr>
      <w:r>
        <w:t>Pacific HIES method</w:t>
      </w:r>
    </w:p>
    <w:p w14:paraId="7460E124" w14:textId="4FA0513E" w:rsidR="009176D7" w:rsidRDefault="009176D7" w:rsidP="009176D7">
      <w:pPr>
        <w:pStyle w:val="ListParagraph"/>
        <w:numPr>
          <w:ilvl w:val="0"/>
          <w:numId w:val="29"/>
        </w:numPr>
      </w:pPr>
      <w:r>
        <w:t>Pacific</w:t>
      </w:r>
      <w:r w:rsidR="009D6D70">
        <w:t xml:space="preserve"> monetary</w:t>
      </w:r>
      <w:r>
        <w:t xml:space="preserve"> poverty</w:t>
      </w:r>
      <w:r w:rsidR="009D6D70">
        <w:t xml:space="preserve"> analysis</w:t>
      </w:r>
      <w:r>
        <w:t xml:space="preserve"> </w:t>
      </w:r>
      <w:r w:rsidR="009D6D70">
        <w:t>method</w:t>
      </w:r>
    </w:p>
    <w:p w14:paraId="0C4D8F6C" w14:textId="751CA5F3" w:rsidR="00F60645" w:rsidRDefault="00F60645" w:rsidP="00F60645">
      <w:r>
        <w:t xml:space="preserve">The guidance notes are intended to be short, </w:t>
      </w:r>
      <w:proofErr w:type="gramStart"/>
      <w:r>
        <w:t>factual</w:t>
      </w:r>
      <w:proofErr w:type="gramEnd"/>
      <w:r>
        <w:t xml:space="preserve"> and easily digestible for the intended audience, such as Pacific survey practitioners, statistics officers and non-technical decision makers.  </w:t>
      </w:r>
    </w:p>
    <w:p w14:paraId="6717599B" w14:textId="658E4EAC" w:rsidR="009176D7" w:rsidRDefault="009176D7" w:rsidP="00F60645">
      <w:r>
        <w:t>In addition to the guidance notes, the Project will prepare a series of YouTube videos, which will serve to support the training of National Statistics Offices and field staff in the conduct of HIES in the Pacific region and in the collection of data required to measure poverty.  The series will include:</w:t>
      </w:r>
    </w:p>
    <w:p w14:paraId="1F6D1113" w14:textId="259940DF" w:rsidR="009176D7" w:rsidRDefault="009176D7" w:rsidP="009176D7">
      <w:pPr>
        <w:pStyle w:val="ListParagraph"/>
        <w:numPr>
          <w:ilvl w:val="0"/>
          <w:numId w:val="30"/>
        </w:numPr>
      </w:pPr>
      <w:r>
        <w:t>Survey sampling</w:t>
      </w:r>
    </w:p>
    <w:p w14:paraId="035A62FD" w14:textId="035B9605" w:rsidR="009176D7" w:rsidRDefault="009176D7" w:rsidP="009176D7">
      <w:pPr>
        <w:pStyle w:val="ListParagraph"/>
        <w:numPr>
          <w:ilvl w:val="0"/>
          <w:numId w:val="30"/>
        </w:numPr>
      </w:pPr>
      <w:r>
        <w:lastRenderedPageBreak/>
        <w:t>Questionnaire design</w:t>
      </w:r>
    </w:p>
    <w:p w14:paraId="6B96EA2C" w14:textId="5941C80B" w:rsidR="009176D7" w:rsidRDefault="009176D7" w:rsidP="009176D7">
      <w:pPr>
        <w:pStyle w:val="ListParagraph"/>
        <w:numPr>
          <w:ilvl w:val="0"/>
          <w:numId w:val="30"/>
        </w:numPr>
      </w:pPr>
      <w:r>
        <w:t>Survey planning</w:t>
      </w:r>
    </w:p>
    <w:p w14:paraId="4BA437DF" w14:textId="2797187A" w:rsidR="009176D7" w:rsidRDefault="009176D7" w:rsidP="009176D7">
      <w:pPr>
        <w:pStyle w:val="ListParagraph"/>
        <w:numPr>
          <w:ilvl w:val="0"/>
          <w:numId w:val="30"/>
        </w:numPr>
      </w:pPr>
      <w:r>
        <w:t xml:space="preserve">Specific technical aspects of </w:t>
      </w:r>
      <w:r w:rsidR="0011149D">
        <w:t>survey implementation</w:t>
      </w:r>
      <w:r>
        <w:t xml:space="preserve"> (e.g., how to fill certain aspects of the questionnaire</w:t>
      </w:r>
      <w:r w:rsidR="0011149D">
        <w:t>, household listing, who qualifies as a household member</w:t>
      </w:r>
      <w:r w:rsidR="003C17C3">
        <w:t>, replacing households</w:t>
      </w:r>
      <w:r>
        <w:t>)</w:t>
      </w:r>
    </w:p>
    <w:p w14:paraId="62C2EC19" w14:textId="3008FB71" w:rsidR="009176D7" w:rsidRDefault="009176D7" w:rsidP="009176D7">
      <w:pPr>
        <w:pStyle w:val="ListParagraph"/>
        <w:numPr>
          <w:ilvl w:val="0"/>
          <w:numId w:val="30"/>
        </w:numPr>
      </w:pPr>
      <w:r>
        <w:t>Market surveys and the collection of conversion factors for non-standard units of measurement</w:t>
      </w:r>
    </w:p>
    <w:p w14:paraId="63A2F44B" w14:textId="351C4AB9" w:rsidR="009176D7" w:rsidRDefault="009176D7" w:rsidP="009176D7">
      <w:pPr>
        <w:pStyle w:val="ListParagraph"/>
        <w:numPr>
          <w:ilvl w:val="0"/>
          <w:numId w:val="30"/>
        </w:numPr>
      </w:pPr>
      <w:r>
        <w:t>Field work management, monitoring and quality control</w:t>
      </w:r>
    </w:p>
    <w:p w14:paraId="152368F1" w14:textId="73FD1571" w:rsidR="009176D7" w:rsidRDefault="009176D7" w:rsidP="009176D7">
      <w:pPr>
        <w:pStyle w:val="ListParagraph"/>
        <w:numPr>
          <w:ilvl w:val="0"/>
          <w:numId w:val="30"/>
        </w:numPr>
      </w:pPr>
      <w:r>
        <w:t>CAPI system development and implementation</w:t>
      </w:r>
    </w:p>
    <w:p w14:paraId="7B667166" w14:textId="77777777" w:rsidR="007767F7" w:rsidRDefault="007767F7" w:rsidP="007767F7">
      <w:pPr>
        <w:pStyle w:val="Heading4"/>
      </w:pPr>
      <w:r>
        <w:t>Improving the way statistics are reported, including by gender</w:t>
      </w:r>
    </w:p>
    <w:p w14:paraId="15810797" w14:textId="1FAF9BE5" w:rsidR="00CF0513" w:rsidRDefault="00CF0513" w:rsidP="00D10C73">
      <w:r>
        <w:t>Tonga 2020 HIES data processing is scheduled for late-2020 and early 2021.  This activity will be conducted jointly between SDD, the Welfare Economist and FAO.  The HIES report of Tonga will be completed by the Long-Term Consultant (Statistics Advisor) and published within 12-months of completion of field work (by December 2022).</w:t>
      </w:r>
      <w:r w:rsidR="00DF50BD">
        <w:t xml:space="preserve">  The processing of the data resulting from the Long-Form Census of Tuvalu (ref. Sub-Component 3.2 below) will occur in late-2022 and the HIES report will be prepared in late-2022/early 2023.  </w:t>
      </w:r>
    </w:p>
    <w:p w14:paraId="00D02234" w14:textId="4715A116" w:rsidR="004823F4" w:rsidRPr="003C4E2A" w:rsidRDefault="003C4E2A" w:rsidP="009E08D3">
      <w:r>
        <w:t>In 2022, t</w:t>
      </w:r>
      <w:r w:rsidR="00CF0513" w:rsidRPr="003C4E2A">
        <w:t>he Project will</w:t>
      </w:r>
      <w:r w:rsidR="009E08D3" w:rsidRPr="003C4E2A">
        <w:t xml:space="preserve"> </w:t>
      </w:r>
      <w:r>
        <w:t xml:space="preserve">publish (in </w:t>
      </w:r>
      <w:proofErr w:type="spellStart"/>
      <w:proofErr w:type="gramStart"/>
      <w:r>
        <w:t>pdh.stat</w:t>
      </w:r>
      <w:proofErr w:type="spellEnd"/>
      <w:proofErr w:type="gramEnd"/>
      <w:r>
        <w:t>)</w:t>
      </w:r>
      <w:r w:rsidR="009E08D3" w:rsidRPr="003C4E2A">
        <w:t xml:space="preserve"> the </w:t>
      </w:r>
      <w:r w:rsidRPr="003C4E2A">
        <w:t xml:space="preserve">UNSD minimum set of </w:t>
      </w:r>
      <w:r>
        <w:t xml:space="preserve">gender </w:t>
      </w:r>
      <w:r w:rsidRPr="003C4E2A">
        <w:t>indicators (3, 4, 5, 6, 7, 8, 10, 11, 17, 21, 22, 23, 24, 31, 33, 34)</w:t>
      </w:r>
      <w:r w:rsidR="00CF0513" w:rsidRPr="003C4E2A">
        <w:t xml:space="preserve"> </w:t>
      </w:r>
      <w:r w:rsidR="009E08D3" w:rsidRPr="003C4E2A">
        <w:t>using data from the surveys of Vanuatu (2019), Kiribati (2019), Marshall Islands (2019) and Tonga (2020):.  In addition to this, the project will contribute to the publication of a report titled ‘Gender equality and sustainable energy: lessons learned from Pacific Island countries’ where the project will finance the preparation of tables used in the report</w:t>
      </w:r>
      <w:r>
        <w:t xml:space="preserve"> (time of Project Manager charged under Sub-Component 2.2)</w:t>
      </w:r>
      <w:r w:rsidR="009E08D3" w:rsidRPr="003C4E2A">
        <w:t>.</w:t>
      </w:r>
    </w:p>
    <w:p w14:paraId="5FAED260" w14:textId="77777777" w:rsidR="00D7273D" w:rsidRDefault="00D7273D" w:rsidP="00D7273D">
      <w:r>
        <w:t>Under Sub-component 1.2, the Project will deliver:</w:t>
      </w:r>
    </w:p>
    <w:tbl>
      <w:tblPr>
        <w:tblStyle w:val="TableGrid"/>
        <w:tblW w:w="0" w:type="auto"/>
        <w:tblLook w:val="04A0" w:firstRow="1" w:lastRow="0" w:firstColumn="1" w:lastColumn="0" w:noHBand="0" w:noVBand="1"/>
      </w:tblPr>
      <w:tblGrid>
        <w:gridCol w:w="6145"/>
        <w:gridCol w:w="1039"/>
        <w:gridCol w:w="771"/>
        <w:gridCol w:w="865"/>
        <w:gridCol w:w="1256"/>
      </w:tblGrid>
      <w:tr w:rsidR="0051168C" w14:paraId="39185EFF" w14:textId="77777777" w:rsidTr="00DB3EE6">
        <w:tc>
          <w:tcPr>
            <w:tcW w:w="0" w:type="auto"/>
          </w:tcPr>
          <w:p w14:paraId="50C9A5EC" w14:textId="77777777" w:rsidR="0051168C" w:rsidRPr="0096508F" w:rsidRDefault="0051168C" w:rsidP="00097CFD">
            <w:pPr>
              <w:rPr>
                <w:b/>
              </w:rPr>
            </w:pPr>
            <w:r>
              <w:rPr>
                <w:b/>
              </w:rPr>
              <w:t>Deliverable</w:t>
            </w:r>
          </w:p>
        </w:tc>
        <w:tc>
          <w:tcPr>
            <w:tcW w:w="0" w:type="auto"/>
          </w:tcPr>
          <w:p w14:paraId="62EF2640" w14:textId="77777777" w:rsidR="0051168C" w:rsidRPr="0096508F" w:rsidRDefault="0051168C" w:rsidP="00097CFD">
            <w:pPr>
              <w:rPr>
                <w:b/>
              </w:rPr>
            </w:pPr>
            <w:r>
              <w:rPr>
                <w:b/>
              </w:rPr>
              <w:t>PD</w:t>
            </w:r>
            <w:r w:rsidRPr="0096508F">
              <w:rPr>
                <w:b/>
              </w:rPr>
              <w:t>O Indicator</w:t>
            </w:r>
          </w:p>
        </w:tc>
        <w:tc>
          <w:tcPr>
            <w:tcW w:w="0" w:type="auto"/>
          </w:tcPr>
          <w:p w14:paraId="0B9B4516" w14:textId="10565B88" w:rsidR="0051168C" w:rsidRPr="0096508F" w:rsidRDefault="0051168C" w:rsidP="00097CFD">
            <w:pPr>
              <w:rPr>
                <w:b/>
              </w:rPr>
            </w:pPr>
            <w:r w:rsidRPr="0096508F">
              <w:rPr>
                <w:b/>
              </w:rPr>
              <w:t>202</w:t>
            </w:r>
            <w:r>
              <w:rPr>
                <w:b/>
              </w:rPr>
              <w:t>2</w:t>
            </w:r>
            <w:r w:rsidRPr="0096508F">
              <w:rPr>
                <w:b/>
              </w:rPr>
              <w:t xml:space="preserve"> target</w:t>
            </w:r>
          </w:p>
        </w:tc>
        <w:tc>
          <w:tcPr>
            <w:tcW w:w="0" w:type="auto"/>
          </w:tcPr>
          <w:p w14:paraId="5EB61CAE" w14:textId="77777777" w:rsidR="0051168C" w:rsidRPr="0096508F" w:rsidRDefault="0051168C" w:rsidP="00097CFD">
            <w:pPr>
              <w:rPr>
                <w:b/>
              </w:rPr>
            </w:pPr>
            <w:r w:rsidRPr="0096508F">
              <w:rPr>
                <w:b/>
              </w:rPr>
              <w:t>Project target</w:t>
            </w:r>
          </w:p>
        </w:tc>
        <w:tc>
          <w:tcPr>
            <w:tcW w:w="0" w:type="auto"/>
          </w:tcPr>
          <w:p w14:paraId="0B772830" w14:textId="77777777" w:rsidR="0051168C" w:rsidRPr="0096508F" w:rsidRDefault="0051168C" w:rsidP="00097CFD">
            <w:pPr>
              <w:rPr>
                <w:b/>
              </w:rPr>
            </w:pPr>
            <w:r w:rsidRPr="0096508F">
              <w:rPr>
                <w:b/>
              </w:rPr>
              <w:t>Cumulative</w:t>
            </w:r>
          </w:p>
        </w:tc>
      </w:tr>
      <w:tr w:rsidR="0051168C" w14:paraId="26009FF4" w14:textId="77777777" w:rsidTr="0051168C">
        <w:tc>
          <w:tcPr>
            <w:tcW w:w="5358" w:type="dxa"/>
          </w:tcPr>
          <w:p w14:paraId="6BC9CA8A" w14:textId="018E0523" w:rsidR="0051168C" w:rsidRDefault="0051168C" w:rsidP="008E6B21">
            <w:r>
              <w:t>2 x regional conference on: HIES in the Pacific region; poverty analysis</w:t>
            </w:r>
          </w:p>
        </w:tc>
        <w:tc>
          <w:tcPr>
            <w:tcW w:w="1039" w:type="dxa"/>
          </w:tcPr>
          <w:p w14:paraId="376BFF8D" w14:textId="46A71D90" w:rsidR="0051168C" w:rsidRDefault="0051168C" w:rsidP="008E6B21">
            <w:r>
              <w:t>3.3; 4.1</w:t>
            </w:r>
          </w:p>
        </w:tc>
        <w:tc>
          <w:tcPr>
            <w:tcW w:w="771" w:type="dxa"/>
          </w:tcPr>
          <w:p w14:paraId="4537A1F5" w14:textId="63A57905" w:rsidR="0051168C" w:rsidRDefault="0051168C" w:rsidP="008E6B21">
            <w:r>
              <w:t>2</w:t>
            </w:r>
          </w:p>
        </w:tc>
        <w:tc>
          <w:tcPr>
            <w:tcW w:w="0" w:type="auto"/>
          </w:tcPr>
          <w:p w14:paraId="024D16C3" w14:textId="5E209818" w:rsidR="0051168C" w:rsidRDefault="0051168C" w:rsidP="008E6B21">
            <w:r>
              <w:t>3</w:t>
            </w:r>
          </w:p>
        </w:tc>
        <w:tc>
          <w:tcPr>
            <w:tcW w:w="0" w:type="auto"/>
          </w:tcPr>
          <w:p w14:paraId="626EF9C0" w14:textId="2377C469" w:rsidR="0051168C" w:rsidRDefault="0051168C" w:rsidP="008E6B21">
            <w:r>
              <w:t>0</w:t>
            </w:r>
          </w:p>
        </w:tc>
      </w:tr>
      <w:tr w:rsidR="0051168C" w14:paraId="6ADF43B3" w14:textId="77777777" w:rsidTr="0051168C">
        <w:tc>
          <w:tcPr>
            <w:tcW w:w="5358" w:type="dxa"/>
          </w:tcPr>
          <w:p w14:paraId="0DE7A080" w14:textId="79212FFE" w:rsidR="0051168C" w:rsidRDefault="0051168C" w:rsidP="008E6B21">
            <w:r>
              <w:t>3 x national/sub-regional workshops on: HIES sampling and planning; HIES data processing; HIES analysis and reporting</w:t>
            </w:r>
          </w:p>
        </w:tc>
        <w:tc>
          <w:tcPr>
            <w:tcW w:w="1039" w:type="dxa"/>
          </w:tcPr>
          <w:p w14:paraId="0A0510E4" w14:textId="1903AEE8" w:rsidR="0051168C" w:rsidRDefault="0051168C" w:rsidP="008E6B21">
            <w:r>
              <w:t>3.3; 4.1</w:t>
            </w:r>
          </w:p>
        </w:tc>
        <w:tc>
          <w:tcPr>
            <w:tcW w:w="771" w:type="dxa"/>
          </w:tcPr>
          <w:p w14:paraId="7F65ABC1" w14:textId="3D59C0A4" w:rsidR="0051168C" w:rsidRDefault="0051168C" w:rsidP="008E6B21">
            <w:r>
              <w:t>3</w:t>
            </w:r>
          </w:p>
        </w:tc>
        <w:tc>
          <w:tcPr>
            <w:tcW w:w="0" w:type="auto"/>
          </w:tcPr>
          <w:p w14:paraId="7A7AFC67" w14:textId="319470A4" w:rsidR="0051168C" w:rsidRDefault="0051168C" w:rsidP="008E6B21">
            <w:r>
              <w:t>NA</w:t>
            </w:r>
          </w:p>
        </w:tc>
        <w:tc>
          <w:tcPr>
            <w:tcW w:w="0" w:type="auto"/>
          </w:tcPr>
          <w:p w14:paraId="5B31EDD5" w14:textId="26B2237D" w:rsidR="0051168C" w:rsidRDefault="0051168C" w:rsidP="008E6B21">
            <w:r>
              <w:t>0</w:t>
            </w:r>
          </w:p>
        </w:tc>
      </w:tr>
      <w:tr w:rsidR="0051168C" w14:paraId="52AB0B62" w14:textId="77777777" w:rsidTr="0051168C">
        <w:tc>
          <w:tcPr>
            <w:tcW w:w="5358" w:type="dxa"/>
          </w:tcPr>
          <w:p w14:paraId="770129E2" w14:textId="23589E8B" w:rsidR="0051168C" w:rsidRDefault="0051168C" w:rsidP="008E6B21">
            <w:r>
              <w:t>3 x PSMB guidance notes on: i. on microdata dissemination in SIDS; ii. Pacific HIES method; iii. Pacific monetary poverty method</w:t>
            </w:r>
          </w:p>
        </w:tc>
        <w:tc>
          <w:tcPr>
            <w:tcW w:w="1039" w:type="dxa"/>
          </w:tcPr>
          <w:p w14:paraId="02B0CDB9" w14:textId="77777777" w:rsidR="0051168C" w:rsidRDefault="0051168C" w:rsidP="008E6B21">
            <w:r>
              <w:t>1.1</w:t>
            </w:r>
          </w:p>
        </w:tc>
        <w:tc>
          <w:tcPr>
            <w:tcW w:w="771" w:type="dxa"/>
          </w:tcPr>
          <w:p w14:paraId="53D0E72E" w14:textId="39E539B0" w:rsidR="0051168C" w:rsidRDefault="0051168C" w:rsidP="008E6B21">
            <w:r>
              <w:t>3</w:t>
            </w:r>
          </w:p>
        </w:tc>
        <w:tc>
          <w:tcPr>
            <w:tcW w:w="0" w:type="auto"/>
          </w:tcPr>
          <w:p w14:paraId="1041B9AA" w14:textId="77777777" w:rsidR="0051168C" w:rsidRDefault="0051168C" w:rsidP="008E6B21">
            <w:r>
              <w:t>10</w:t>
            </w:r>
          </w:p>
        </w:tc>
        <w:tc>
          <w:tcPr>
            <w:tcW w:w="0" w:type="auto"/>
          </w:tcPr>
          <w:p w14:paraId="447C7318" w14:textId="29E2EB55" w:rsidR="0051168C" w:rsidRDefault="0051168C" w:rsidP="008E6B21">
            <w:r>
              <w:t>0</w:t>
            </w:r>
          </w:p>
        </w:tc>
      </w:tr>
      <w:tr w:rsidR="0051168C" w14:paraId="38667374" w14:textId="77777777" w:rsidTr="00DB3EE6">
        <w:tc>
          <w:tcPr>
            <w:tcW w:w="0" w:type="auto"/>
          </w:tcPr>
          <w:p w14:paraId="06E0848C" w14:textId="3229FDA5" w:rsidR="0051168C" w:rsidRDefault="0051168C" w:rsidP="00017BCB">
            <w:r>
              <w:t>YouTube videos</w:t>
            </w:r>
          </w:p>
        </w:tc>
        <w:tc>
          <w:tcPr>
            <w:tcW w:w="0" w:type="auto"/>
          </w:tcPr>
          <w:p w14:paraId="6E49AF72" w14:textId="663A3296" w:rsidR="0051168C" w:rsidRDefault="0051168C" w:rsidP="00017BCB">
            <w:r>
              <w:t>1.1</w:t>
            </w:r>
          </w:p>
        </w:tc>
        <w:tc>
          <w:tcPr>
            <w:tcW w:w="0" w:type="auto"/>
          </w:tcPr>
          <w:p w14:paraId="1BDC9849" w14:textId="53B4947B" w:rsidR="0051168C" w:rsidRDefault="0051168C" w:rsidP="00017BCB">
            <w:r>
              <w:t>&gt;5</w:t>
            </w:r>
          </w:p>
        </w:tc>
        <w:tc>
          <w:tcPr>
            <w:tcW w:w="0" w:type="auto"/>
          </w:tcPr>
          <w:p w14:paraId="78CAE356" w14:textId="0F31CE41" w:rsidR="0051168C" w:rsidRDefault="0051168C" w:rsidP="00017BCB">
            <w:r>
              <w:t>NA</w:t>
            </w:r>
          </w:p>
        </w:tc>
        <w:tc>
          <w:tcPr>
            <w:tcW w:w="0" w:type="auto"/>
          </w:tcPr>
          <w:p w14:paraId="1A804AA3" w14:textId="0E731320" w:rsidR="0051168C" w:rsidRDefault="0051168C" w:rsidP="00017BCB">
            <w:r>
              <w:t>0</w:t>
            </w:r>
          </w:p>
        </w:tc>
      </w:tr>
      <w:tr w:rsidR="0051168C" w14:paraId="39BFF224" w14:textId="77777777" w:rsidTr="00DB3EE6">
        <w:tc>
          <w:tcPr>
            <w:tcW w:w="0" w:type="auto"/>
          </w:tcPr>
          <w:p w14:paraId="4D9F101A" w14:textId="1043831B" w:rsidR="0051168C" w:rsidRDefault="0051168C" w:rsidP="00F26765">
            <w:r>
              <w:t>2 x HIES reports</w:t>
            </w:r>
          </w:p>
        </w:tc>
        <w:tc>
          <w:tcPr>
            <w:tcW w:w="0" w:type="auto"/>
          </w:tcPr>
          <w:p w14:paraId="6A3986E4" w14:textId="77777777" w:rsidR="0051168C" w:rsidRDefault="0051168C" w:rsidP="00F26765">
            <w:r>
              <w:t>4.2</w:t>
            </w:r>
          </w:p>
        </w:tc>
        <w:tc>
          <w:tcPr>
            <w:tcW w:w="0" w:type="auto"/>
          </w:tcPr>
          <w:p w14:paraId="3BF8C3AD" w14:textId="23E3BF1B" w:rsidR="0051168C" w:rsidRDefault="0051168C" w:rsidP="00F26765">
            <w:r>
              <w:t>2</w:t>
            </w:r>
          </w:p>
        </w:tc>
        <w:tc>
          <w:tcPr>
            <w:tcW w:w="0" w:type="auto"/>
          </w:tcPr>
          <w:p w14:paraId="51779E6F" w14:textId="77777777" w:rsidR="0051168C" w:rsidRDefault="0051168C" w:rsidP="00F26765">
            <w:r>
              <w:t>6</w:t>
            </w:r>
          </w:p>
        </w:tc>
        <w:tc>
          <w:tcPr>
            <w:tcW w:w="0" w:type="auto"/>
          </w:tcPr>
          <w:p w14:paraId="7505F950" w14:textId="73273BFB" w:rsidR="0051168C" w:rsidRDefault="0051168C" w:rsidP="00F26765">
            <w:r>
              <w:t>0</w:t>
            </w:r>
          </w:p>
        </w:tc>
      </w:tr>
      <w:tr w:rsidR="0051168C" w14:paraId="5A102BD8" w14:textId="77777777" w:rsidTr="00DB3EE6">
        <w:tc>
          <w:tcPr>
            <w:tcW w:w="0" w:type="auto"/>
          </w:tcPr>
          <w:p w14:paraId="13B924F3" w14:textId="3B6106B2" w:rsidR="0051168C" w:rsidRDefault="0051168C" w:rsidP="00FC5827">
            <w:r>
              <w:t xml:space="preserve">16 gender indicators for 4 countries (64 indicators) published in </w:t>
            </w:r>
            <w:proofErr w:type="spellStart"/>
            <w:proofErr w:type="gramStart"/>
            <w:r>
              <w:t>pdh.stat</w:t>
            </w:r>
            <w:proofErr w:type="spellEnd"/>
            <w:proofErr w:type="gramEnd"/>
          </w:p>
        </w:tc>
        <w:tc>
          <w:tcPr>
            <w:tcW w:w="0" w:type="auto"/>
          </w:tcPr>
          <w:p w14:paraId="40CB435D" w14:textId="77777777" w:rsidR="0051168C" w:rsidRDefault="0051168C" w:rsidP="00FC5827">
            <w:r>
              <w:t>4.4</w:t>
            </w:r>
          </w:p>
        </w:tc>
        <w:tc>
          <w:tcPr>
            <w:tcW w:w="0" w:type="auto"/>
          </w:tcPr>
          <w:p w14:paraId="50E40C65" w14:textId="1886B50E" w:rsidR="0051168C" w:rsidRDefault="0051168C" w:rsidP="00FC5827">
            <w:r>
              <w:t>64</w:t>
            </w:r>
          </w:p>
        </w:tc>
        <w:tc>
          <w:tcPr>
            <w:tcW w:w="0" w:type="auto"/>
          </w:tcPr>
          <w:p w14:paraId="57BC4EB7" w14:textId="77777777" w:rsidR="0051168C" w:rsidRDefault="0051168C" w:rsidP="00FC5827">
            <w:r>
              <w:t>16</w:t>
            </w:r>
          </w:p>
        </w:tc>
        <w:tc>
          <w:tcPr>
            <w:tcW w:w="0" w:type="auto"/>
          </w:tcPr>
          <w:p w14:paraId="6E249C04" w14:textId="02DC8ACB" w:rsidR="0051168C" w:rsidRDefault="0051168C" w:rsidP="00FC5827">
            <w:r>
              <w:t>0</w:t>
            </w:r>
          </w:p>
        </w:tc>
      </w:tr>
      <w:tr w:rsidR="0051168C" w14:paraId="32A35C3E" w14:textId="77777777" w:rsidTr="00DB3EE6">
        <w:tc>
          <w:tcPr>
            <w:tcW w:w="0" w:type="auto"/>
          </w:tcPr>
          <w:p w14:paraId="17558259" w14:textId="39595334" w:rsidR="0051168C" w:rsidRDefault="0051168C" w:rsidP="00FC5827">
            <w:r>
              <w:t xml:space="preserve">Report on </w:t>
            </w:r>
            <w:r w:rsidRPr="00BE6510">
              <w:t>Gender equality and sustainable energy: lessons learned from Pacific Island countries</w:t>
            </w:r>
          </w:p>
        </w:tc>
        <w:tc>
          <w:tcPr>
            <w:tcW w:w="0" w:type="auto"/>
          </w:tcPr>
          <w:p w14:paraId="467651BF" w14:textId="2BC4A8F4" w:rsidR="0051168C" w:rsidRDefault="0051168C" w:rsidP="00FC5827">
            <w:r>
              <w:t>4.4</w:t>
            </w:r>
          </w:p>
        </w:tc>
        <w:tc>
          <w:tcPr>
            <w:tcW w:w="0" w:type="auto"/>
          </w:tcPr>
          <w:p w14:paraId="442AD5D1" w14:textId="32925E7A" w:rsidR="0051168C" w:rsidRDefault="0051168C" w:rsidP="00FC5827">
            <w:r>
              <w:t>1</w:t>
            </w:r>
          </w:p>
        </w:tc>
        <w:tc>
          <w:tcPr>
            <w:tcW w:w="0" w:type="auto"/>
          </w:tcPr>
          <w:p w14:paraId="3A598D11" w14:textId="76A9CDA3" w:rsidR="0051168C" w:rsidRDefault="0051168C" w:rsidP="00FC5827">
            <w:r>
              <w:t>NA</w:t>
            </w:r>
          </w:p>
        </w:tc>
        <w:tc>
          <w:tcPr>
            <w:tcW w:w="0" w:type="auto"/>
          </w:tcPr>
          <w:p w14:paraId="18858C5C" w14:textId="6B42E9DD" w:rsidR="0051168C" w:rsidRDefault="0051168C" w:rsidP="00FC5827">
            <w:r>
              <w:t>0</w:t>
            </w:r>
          </w:p>
        </w:tc>
      </w:tr>
    </w:tbl>
    <w:p w14:paraId="27D1A917" w14:textId="77777777" w:rsidR="008318B1" w:rsidRDefault="008318B1" w:rsidP="00621E34">
      <w:pPr>
        <w:pStyle w:val="Heading2"/>
      </w:pPr>
    </w:p>
    <w:p w14:paraId="6C6661F2" w14:textId="72FE7B6B" w:rsidR="004D5DC5" w:rsidRDefault="004D5DC5" w:rsidP="00621E34">
      <w:pPr>
        <w:pStyle w:val="Heading2"/>
      </w:pPr>
      <w:bookmarkStart w:id="6" w:name="_Toc88030659"/>
      <w:r w:rsidRPr="004D5DC5">
        <w:t>Component 2: Institutional Strengthening and Implementation Support</w:t>
      </w:r>
      <w:bookmarkEnd w:id="6"/>
    </w:p>
    <w:p w14:paraId="52EC30A6" w14:textId="48027B93" w:rsidR="00906D41" w:rsidRPr="00D72885" w:rsidRDefault="00906D41" w:rsidP="00906D41">
      <w:r>
        <w:t>The activities proposed herein will be supported by the Long-Term Consultant (Welfare Economist)</w:t>
      </w:r>
      <w:r w:rsidR="00C57954">
        <w:t xml:space="preserve">, who is being procured in 2021, and also the </w:t>
      </w:r>
      <w:r w:rsidR="00DF0AC7">
        <w:t>Medium-Term Consultant (</w:t>
      </w:r>
      <w:r w:rsidR="00C57954">
        <w:t>Harmonisation Advisor</w:t>
      </w:r>
      <w:r w:rsidR="00DF0AC7">
        <w:t>)</w:t>
      </w:r>
      <w:r w:rsidR="00C57954">
        <w:t xml:space="preserve"> who is to be procured in the </w:t>
      </w:r>
      <w:proofErr w:type="gramStart"/>
      <w:r w:rsidR="00C57954">
        <w:t>first-half of 2022</w:t>
      </w:r>
      <w:proofErr w:type="gramEnd"/>
      <w:r w:rsidR="00C57954">
        <w:t>.</w:t>
      </w:r>
    </w:p>
    <w:p w14:paraId="5BF19A5F" w14:textId="77777777" w:rsidR="004D5DC5" w:rsidRDefault="004D5DC5" w:rsidP="00621E34">
      <w:pPr>
        <w:pStyle w:val="Heading3"/>
      </w:pPr>
      <w:bookmarkStart w:id="7" w:name="_Toc88030660"/>
      <w:r w:rsidRPr="004D5DC5">
        <w:t>Sub-component 2.1: Expanding Technical Capacity of SPC-SDD</w:t>
      </w:r>
      <w:bookmarkEnd w:id="7"/>
    </w:p>
    <w:p w14:paraId="5EBC2040" w14:textId="77777777" w:rsidR="00A37519" w:rsidRDefault="00A37519" w:rsidP="00A37519">
      <w:r>
        <w:t>Under this component, the PAD emphasises that the Welfare Economist will strengthen SDD’s capacity to p</w:t>
      </w:r>
      <w:r w:rsidR="0053293F">
        <w:t>rovide TA and training on PSMB recommendations</w:t>
      </w:r>
      <w:r>
        <w:t xml:space="preserve">, develop guidelines, developing a roster of academics and consultants with </w:t>
      </w:r>
      <w:r w:rsidRPr="0053293F">
        <w:t>relevant experience and skills</w:t>
      </w:r>
      <w:r w:rsidR="00E37690">
        <w:t>,</w:t>
      </w:r>
      <w:r>
        <w:t xml:space="preserve"> and to increase the production and dissemination of gender indicators. </w:t>
      </w:r>
    </w:p>
    <w:p w14:paraId="722E2D1C" w14:textId="77777777" w:rsidR="00A37519" w:rsidRDefault="00A37519" w:rsidP="00A37519">
      <w:r>
        <w:t xml:space="preserve">In terms of activities relating to the work of the Welfare Economist, they are listed above under Component 1 of the AWP.  </w:t>
      </w:r>
      <w:r w:rsidR="00E37690">
        <w:t>It is anticipated that</w:t>
      </w:r>
      <w:r w:rsidR="00423B10">
        <w:t>, although</w:t>
      </w:r>
      <w:r w:rsidR="00E37690">
        <w:t xml:space="preserve"> much of the work of the Statistics Advisor and the </w:t>
      </w:r>
      <w:r>
        <w:t>Welfare Economist will</w:t>
      </w:r>
      <w:r w:rsidR="00E37690">
        <w:t xml:space="preserve"> overlap, the Welfare Economist will be designated as</w:t>
      </w:r>
      <w:r>
        <w:t xml:space="preserve"> lead </w:t>
      </w:r>
      <w:r w:rsidR="00E37690">
        <w:t xml:space="preserve">for </w:t>
      </w:r>
      <w:r>
        <w:t>the following activities:</w:t>
      </w:r>
    </w:p>
    <w:p w14:paraId="708580A8" w14:textId="77777777" w:rsidR="00F74143" w:rsidRDefault="00F74143" w:rsidP="00A37519">
      <w:pPr>
        <w:pStyle w:val="ListParagraph"/>
        <w:numPr>
          <w:ilvl w:val="0"/>
          <w:numId w:val="17"/>
        </w:numPr>
      </w:pPr>
      <w:r>
        <w:lastRenderedPageBreak/>
        <w:t xml:space="preserve">Technical contribution to the HIES tabulation and report </w:t>
      </w:r>
      <w:proofErr w:type="gramStart"/>
      <w:r>
        <w:t>activity</w:t>
      </w:r>
      <w:r w:rsidR="0078170A">
        <w:t>;</w:t>
      </w:r>
      <w:proofErr w:type="gramEnd"/>
    </w:p>
    <w:p w14:paraId="4CA5A60A" w14:textId="0575F802" w:rsidR="00F74143" w:rsidRDefault="00E37690" w:rsidP="00097CFD">
      <w:pPr>
        <w:pStyle w:val="ListParagraph"/>
        <w:numPr>
          <w:ilvl w:val="0"/>
          <w:numId w:val="17"/>
        </w:numPr>
      </w:pPr>
      <w:r>
        <w:t>Preparation of the</w:t>
      </w:r>
      <w:r w:rsidR="00F36C13">
        <w:t xml:space="preserve"> </w:t>
      </w:r>
      <w:r w:rsidR="001F0CD2">
        <w:t xml:space="preserve">guidance note on </w:t>
      </w:r>
      <w:r w:rsidR="00F36C13">
        <w:t>HIES method</w:t>
      </w:r>
      <w:r w:rsidR="00C31F13">
        <w:t xml:space="preserve"> guidance </w:t>
      </w:r>
      <w:proofErr w:type="gramStart"/>
      <w:r w:rsidR="00C31F13">
        <w:t>notes</w:t>
      </w:r>
      <w:r w:rsidR="0078170A">
        <w:t>;</w:t>
      </w:r>
      <w:proofErr w:type="gramEnd"/>
    </w:p>
    <w:p w14:paraId="19B81056" w14:textId="3E6414C3" w:rsidR="001F0CD2" w:rsidRDefault="001F0CD2" w:rsidP="00097CFD">
      <w:pPr>
        <w:pStyle w:val="ListParagraph"/>
        <w:numPr>
          <w:ilvl w:val="0"/>
          <w:numId w:val="17"/>
        </w:numPr>
      </w:pPr>
      <w:r>
        <w:t xml:space="preserve">Contribution to the development of the YouTube </w:t>
      </w:r>
      <w:proofErr w:type="gramStart"/>
      <w:r>
        <w:t>videos;</w:t>
      </w:r>
      <w:proofErr w:type="gramEnd"/>
    </w:p>
    <w:p w14:paraId="09DFB4F6" w14:textId="246E8267" w:rsidR="00C31F13" w:rsidRDefault="00E37690" w:rsidP="00097CFD">
      <w:pPr>
        <w:pStyle w:val="ListParagraph"/>
        <w:numPr>
          <w:ilvl w:val="0"/>
          <w:numId w:val="17"/>
        </w:numPr>
      </w:pPr>
      <w:r>
        <w:t>De</w:t>
      </w:r>
      <w:r w:rsidR="001F0CD2">
        <w:t>livery</w:t>
      </w:r>
      <w:r>
        <w:t xml:space="preserve"> of the</w:t>
      </w:r>
      <w:r w:rsidR="00AF70BB">
        <w:t xml:space="preserve"> </w:t>
      </w:r>
      <w:r w:rsidR="004B67B8">
        <w:t>Regional Conference</w:t>
      </w:r>
      <w:r w:rsidR="00AF70BB">
        <w:t xml:space="preserve"> on poverty methods (and contribution to</w:t>
      </w:r>
      <w:r w:rsidR="00DF361F">
        <w:t xml:space="preserve">wards </w:t>
      </w:r>
      <w:r w:rsidR="001F0CD2">
        <w:t>the delivery of the</w:t>
      </w:r>
      <w:r w:rsidR="00AF70BB">
        <w:t xml:space="preserve"> </w:t>
      </w:r>
      <w:r w:rsidR="00DF361F">
        <w:t xml:space="preserve">Regional Conference on </w:t>
      </w:r>
      <w:r w:rsidR="00AF70BB">
        <w:t>HIES method</w:t>
      </w:r>
      <w:proofErr w:type="gramStart"/>
      <w:r w:rsidR="00AF70BB">
        <w:t>)</w:t>
      </w:r>
      <w:r w:rsidR="0078170A">
        <w:t>;</w:t>
      </w:r>
      <w:proofErr w:type="gramEnd"/>
    </w:p>
    <w:p w14:paraId="04C093E3" w14:textId="77777777" w:rsidR="001F0CD2" w:rsidRDefault="00E37690" w:rsidP="00097CFD">
      <w:pPr>
        <w:pStyle w:val="ListParagraph"/>
        <w:numPr>
          <w:ilvl w:val="0"/>
          <w:numId w:val="17"/>
        </w:numPr>
      </w:pPr>
      <w:r>
        <w:t>Delivery of National</w:t>
      </w:r>
      <w:r w:rsidR="001F0CD2">
        <w:t>/</w:t>
      </w:r>
      <w:r w:rsidR="00DF361F">
        <w:t>Sub-Regional workshop</w:t>
      </w:r>
      <w:r w:rsidR="00340CE8">
        <w:t>(s)</w:t>
      </w:r>
      <w:r w:rsidR="00DF361F">
        <w:t xml:space="preserve"> on</w:t>
      </w:r>
      <w:r w:rsidR="001F0CD2">
        <w:t xml:space="preserve"> HIES Data Processing and</w:t>
      </w:r>
      <w:r w:rsidR="00DF361F">
        <w:t xml:space="preserve"> </w:t>
      </w:r>
      <w:r w:rsidR="004B67B8">
        <w:t xml:space="preserve">Analysis and </w:t>
      </w:r>
      <w:r w:rsidR="00DF361F">
        <w:t>D</w:t>
      </w:r>
      <w:r w:rsidR="004B67B8">
        <w:t>issemination (and contribute to the HIES planning</w:t>
      </w:r>
      <w:r w:rsidR="00340CE8">
        <w:t xml:space="preserve"> workshop</w:t>
      </w:r>
      <w:proofErr w:type="gramStart"/>
      <w:r w:rsidR="004B67B8">
        <w:t>)</w:t>
      </w:r>
      <w:r w:rsidR="0078170A">
        <w:t>;</w:t>
      </w:r>
      <w:proofErr w:type="gramEnd"/>
      <w:r w:rsidR="0078170A">
        <w:t xml:space="preserve"> </w:t>
      </w:r>
    </w:p>
    <w:p w14:paraId="6195E9E5" w14:textId="77777777" w:rsidR="001F0CD2" w:rsidRDefault="001F0CD2" w:rsidP="00097CFD">
      <w:pPr>
        <w:pStyle w:val="ListParagraph"/>
        <w:numPr>
          <w:ilvl w:val="0"/>
          <w:numId w:val="17"/>
        </w:numPr>
      </w:pPr>
      <w:r>
        <w:t xml:space="preserve">Data processing of the Tuvalu and Tonga HIES data, particularly the use-value of assets and the imputed </w:t>
      </w:r>
      <w:proofErr w:type="gramStart"/>
      <w:r>
        <w:t>rents;</w:t>
      </w:r>
      <w:proofErr w:type="gramEnd"/>
      <w:r>
        <w:t xml:space="preserve"> </w:t>
      </w:r>
    </w:p>
    <w:p w14:paraId="0EDCD433" w14:textId="4BCFB7A5" w:rsidR="00474F6F" w:rsidRDefault="00474F6F" w:rsidP="00097CFD">
      <w:pPr>
        <w:pStyle w:val="ListParagraph"/>
        <w:numPr>
          <w:ilvl w:val="0"/>
          <w:numId w:val="17"/>
        </w:numPr>
      </w:pPr>
      <w:r>
        <w:t>Production of Gender Indicators</w:t>
      </w:r>
      <w:r w:rsidR="001F0CD2">
        <w:t>; and</w:t>
      </w:r>
    </w:p>
    <w:p w14:paraId="7AC50377" w14:textId="21A51DDD" w:rsidR="001F0CD2" w:rsidRDefault="001F0CD2" w:rsidP="00097CFD">
      <w:pPr>
        <w:pStyle w:val="ListParagraph"/>
        <w:numPr>
          <w:ilvl w:val="0"/>
          <w:numId w:val="17"/>
        </w:numPr>
      </w:pPr>
      <w:r>
        <w:t>Lead the Innovative Experiment of Tuvalu Long-Form Census.</w:t>
      </w:r>
    </w:p>
    <w:p w14:paraId="48C56D76" w14:textId="1F7D9ACF" w:rsidR="00092A1D" w:rsidRDefault="0058792A" w:rsidP="00092A1D">
      <w:r>
        <w:t>The above activities have been listed under Component</w:t>
      </w:r>
      <w:r w:rsidR="0048580E">
        <w:t>s</w:t>
      </w:r>
      <w:r>
        <w:t xml:space="preserve"> 1 </w:t>
      </w:r>
      <w:r w:rsidR="0048580E">
        <w:t xml:space="preserve">and 3 </w:t>
      </w:r>
      <w:r>
        <w:t>to align with the indicative distribution of finance as per the PAD.</w:t>
      </w:r>
    </w:p>
    <w:p w14:paraId="590525E7" w14:textId="18B4CFA9" w:rsidR="00C518B6" w:rsidRDefault="00C518B6" w:rsidP="00092A1D">
      <w:r>
        <w:t xml:space="preserve">SPC Staff (e.g., Economic Advisor &amp; Microdata Specialist, Manager (Data Analysis and Dissemination), Census and Survey Programmer, Data Processing Officer, </w:t>
      </w:r>
      <w:r w:rsidR="00DF0AC7">
        <w:t>Statistics</w:t>
      </w:r>
      <w:r>
        <w:t xml:space="preserve"> Advisor and </w:t>
      </w:r>
      <w:r w:rsidR="00DF0AC7">
        <w:t>Statistics</w:t>
      </w:r>
      <w:r>
        <w:t xml:space="preserve"> Officer) will partake in </w:t>
      </w:r>
      <w:r w:rsidR="0078170A">
        <w:t xml:space="preserve">the </w:t>
      </w:r>
      <w:r w:rsidR="00DF0AC7">
        <w:t xml:space="preserve">Regional Conferences and </w:t>
      </w:r>
      <w:r>
        <w:t>National</w:t>
      </w:r>
      <w:r w:rsidR="00DF0AC7">
        <w:t>/Sub-Regional</w:t>
      </w:r>
      <w:r>
        <w:t xml:space="preserve"> Workshops listed under Component 1.2</w:t>
      </w:r>
      <w:r w:rsidR="00DF0AC7">
        <w:t xml:space="preserve">, </w:t>
      </w:r>
      <w:r w:rsidR="00F50676">
        <w:t xml:space="preserve">which will </w:t>
      </w:r>
      <w:r w:rsidR="00DF0AC7">
        <w:t>present an</w:t>
      </w:r>
      <w:r w:rsidR="00F50676">
        <w:t xml:space="preserve"> opportunity for SPC</w:t>
      </w:r>
      <w:r w:rsidR="0022650B">
        <w:t xml:space="preserve"> S</w:t>
      </w:r>
      <w:r w:rsidR="00F50676">
        <w:t xml:space="preserve">taff to be trained in welfare analysis.  </w:t>
      </w:r>
    </w:p>
    <w:p w14:paraId="317B54EE" w14:textId="67D79785" w:rsidR="00DE1EE9" w:rsidRDefault="0093692D" w:rsidP="00092A1D">
      <w:r>
        <w:t>The Medium-Term Consultant (Harmonisation Advisor) of the Project will be procured in 2022</w:t>
      </w:r>
      <w:r w:rsidR="00DE1EE9">
        <w:t xml:space="preserve">.  The Harmonisation Advisor will be tasked to work on the harmonisation of consumption aggregates for the household income and expenditure surveys of: </w:t>
      </w:r>
      <w:r w:rsidR="00DE1EE9" w:rsidRPr="00DE1EE9">
        <w:t>NRU 2012, FSM 2013, PLW 2014, COK 2015, NIU 2015, TOK 2015, TON 2015</w:t>
      </w:r>
      <w:r w:rsidR="005D43EA">
        <w:t xml:space="preserve"> and</w:t>
      </w:r>
      <w:r w:rsidR="00DE1EE9" w:rsidRPr="00DE1EE9">
        <w:t xml:space="preserve"> TUV 2015</w:t>
      </w:r>
      <w:r w:rsidR="00DE1EE9">
        <w:t>.  These surveys have been subject to secondary harmonised processing to calculate dietary energy consumption and the</w:t>
      </w:r>
      <w:r w:rsidR="005D43EA">
        <w:t>y</w:t>
      </w:r>
      <w:r w:rsidR="00DE1EE9">
        <w:t xml:space="preserve"> are available for poverty analysis</w:t>
      </w:r>
      <w:r w:rsidR="005D43EA">
        <w:t xml:space="preserve"> under the PACSTAT project</w:t>
      </w:r>
      <w:r w:rsidR="00DE1EE9">
        <w:t>.  This exercise will present an opportunity for comparison of different methods for poverty analysis, which will contribute towards making recommendation to PSMB on the pros and cons of different approaches to the measurement of monetary poverty.</w:t>
      </w:r>
      <w:r w:rsidR="00852CCC">
        <w:t xml:space="preserve">  It will also present opportunity </w:t>
      </w:r>
      <w:proofErr w:type="gramStart"/>
      <w:r w:rsidR="00852CCC">
        <w:t>for the production of</w:t>
      </w:r>
      <w:proofErr w:type="gramEnd"/>
      <w:r w:rsidR="00852CCC">
        <w:t xml:space="preserve"> gender indicators under the project.</w:t>
      </w:r>
    </w:p>
    <w:tbl>
      <w:tblPr>
        <w:tblStyle w:val="TableGrid"/>
        <w:tblW w:w="0" w:type="auto"/>
        <w:tblLook w:val="04A0" w:firstRow="1" w:lastRow="0" w:firstColumn="1" w:lastColumn="0" w:noHBand="0" w:noVBand="1"/>
      </w:tblPr>
      <w:tblGrid>
        <w:gridCol w:w="4402"/>
        <w:gridCol w:w="1493"/>
        <w:gridCol w:w="1267"/>
        <w:gridCol w:w="1469"/>
        <w:gridCol w:w="1256"/>
      </w:tblGrid>
      <w:tr w:rsidR="0051168C" w14:paraId="35F4F3F0" w14:textId="77777777" w:rsidTr="0093692D">
        <w:tc>
          <w:tcPr>
            <w:tcW w:w="0" w:type="auto"/>
          </w:tcPr>
          <w:p w14:paraId="5330CEDD" w14:textId="77777777" w:rsidR="0051168C" w:rsidRPr="0096508F" w:rsidRDefault="0051168C" w:rsidP="0093692D">
            <w:pPr>
              <w:rPr>
                <w:b/>
              </w:rPr>
            </w:pPr>
            <w:r>
              <w:rPr>
                <w:b/>
              </w:rPr>
              <w:t>Deliverable</w:t>
            </w:r>
          </w:p>
        </w:tc>
        <w:tc>
          <w:tcPr>
            <w:tcW w:w="0" w:type="auto"/>
          </w:tcPr>
          <w:p w14:paraId="127CD77E" w14:textId="77777777" w:rsidR="0051168C" w:rsidRPr="0096508F" w:rsidRDefault="0051168C" w:rsidP="0093692D">
            <w:pPr>
              <w:rPr>
                <w:b/>
              </w:rPr>
            </w:pPr>
            <w:r>
              <w:rPr>
                <w:b/>
              </w:rPr>
              <w:t>PD</w:t>
            </w:r>
            <w:r w:rsidRPr="0096508F">
              <w:rPr>
                <w:b/>
              </w:rPr>
              <w:t>O Indicator</w:t>
            </w:r>
          </w:p>
        </w:tc>
        <w:tc>
          <w:tcPr>
            <w:tcW w:w="0" w:type="auto"/>
          </w:tcPr>
          <w:p w14:paraId="5A63C321" w14:textId="49D2880A" w:rsidR="0051168C" w:rsidRPr="0096508F" w:rsidRDefault="0051168C" w:rsidP="0093692D">
            <w:pPr>
              <w:rPr>
                <w:b/>
              </w:rPr>
            </w:pPr>
            <w:r w:rsidRPr="0096508F">
              <w:rPr>
                <w:b/>
              </w:rPr>
              <w:t>202</w:t>
            </w:r>
            <w:r>
              <w:rPr>
                <w:b/>
              </w:rPr>
              <w:t>2</w:t>
            </w:r>
            <w:r w:rsidRPr="0096508F">
              <w:rPr>
                <w:b/>
              </w:rPr>
              <w:t xml:space="preserve"> target</w:t>
            </w:r>
          </w:p>
        </w:tc>
        <w:tc>
          <w:tcPr>
            <w:tcW w:w="0" w:type="auto"/>
          </w:tcPr>
          <w:p w14:paraId="4041B855" w14:textId="77777777" w:rsidR="0051168C" w:rsidRPr="0096508F" w:rsidRDefault="0051168C" w:rsidP="0093692D">
            <w:pPr>
              <w:rPr>
                <w:b/>
              </w:rPr>
            </w:pPr>
            <w:r w:rsidRPr="0096508F">
              <w:rPr>
                <w:b/>
              </w:rPr>
              <w:t>Project target</w:t>
            </w:r>
          </w:p>
        </w:tc>
        <w:tc>
          <w:tcPr>
            <w:tcW w:w="0" w:type="auto"/>
          </w:tcPr>
          <w:p w14:paraId="34496B92" w14:textId="77777777" w:rsidR="0051168C" w:rsidRPr="0096508F" w:rsidRDefault="0051168C" w:rsidP="0093692D">
            <w:pPr>
              <w:rPr>
                <w:b/>
              </w:rPr>
            </w:pPr>
            <w:r w:rsidRPr="0096508F">
              <w:rPr>
                <w:b/>
              </w:rPr>
              <w:t>Cumulative</w:t>
            </w:r>
          </w:p>
        </w:tc>
      </w:tr>
      <w:tr w:rsidR="0051168C" w14:paraId="2CA3D8B5" w14:textId="77777777" w:rsidTr="0093692D">
        <w:tc>
          <w:tcPr>
            <w:tcW w:w="0" w:type="auto"/>
          </w:tcPr>
          <w:p w14:paraId="113EFCC1" w14:textId="77777777" w:rsidR="0051168C" w:rsidRDefault="0051168C" w:rsidP="0093692D">
            <w:r>
              <w:t>Regionally comparable indicators</w:t>
            </w:r>
          </w:p>
        </w:tc>
        <w:tc>
          <w:tcPr>
            <w:tcW w:w="0" w:type="auto"/>
          </w:tcPr>
          <w:p w14:paraId="3873454A" w14:textId="77777777" w:rsidR="0051168C" w:rsidRDefault="0051168C" w:rsidP="0093692D">
            <w:r>
              <w:t>2.1</w:t>
            </w:r>
          </w:p>
        </w:tc>
        <w:tc>
          <w:tcPr>
            <w:tcW w:w="0" w:type="auto"/>
          </w:tcPr>
          <w:p w14:paraId="3936052B" w14:textId="12A18A23" w:rsidR="0051168C" w:rsidRDefault="0051168C" w:rsidP="0093692D">
            <w:r>
              <w:t>8</w:t>
            </w:r>
          </w:p>
        </w:tc>
        <w:tc>
          <w:tcPr>
            <w:tcW w:w="0" w:type="auto"/>
          </w:tcPr>
          <w:p w14:paraId="687121EE" w14:textId="77777777" w:rsidR="0051168C" w:rsidRDefault="0051168C" w:rsidP="0093692D">
            <w:r>
              <w:t>14</w:t>
            </w:r>
          </w:p>
        </w:tc>
        <w:tc>
          <w:tcPr>
            <w:tcW w:w="0" w:type="auto"/>
          </w:tcPr>
          <w:p w14:paraId="572F8319" w14:textId="70D2DDAB" w:rsidR="0051168C" w:rsidRDefault="0051168C" w:rsidP="0093692D">
            <w:r>
              <w:t>0</w:t>
            </w:r>
          </w:p>
        </w:tc>
      </w:tr>
      <w:tr w:rsidR="0051168C" w14:paraId="7EC05AAE" w14:textId="77777777" w:rsidTr="0093692D">
        <w:tc>
          <w:tcPr>
            <w:tcW w:w="0" w:type="auto"/>
          </w:tcPr>
          <w:p w14:paraId="24BD6EF9" w14:textId="77777777" w:rsidR="0051168C" w:rsidRDefault="0051168C" w:rsidP="0093692D">
            <w:r>
              <w:t>Harmonized microdata sets</w:t>
            </w:r>
          </w:p>
        </w:tc>
        <w:tc>
          <w:tcPr>
            <w:tcW w:w="0" w:type="auto"/>
          </w:tcPr>
          <w:p w14:paraId="12570A6C" w14:textId="59DEE3CB" w:rsidR="0051168C" w:rsidRDefault="0051168C" w:rsidP="0093692D">
            <w:r>
              <w:t>2.2</w:t>
            </w:r>
          </w:p>
        </w:tc>
        <w:tc>
          <w:tcPr>
            <w:tcW w:w="0" w:type="auto"/>
          </w:tcPr>
          <w:p w14:paraId="30377B0C" w14:textId="641790FA" w:rsidR="0051168C" w:rsidRDefault="0051168C" w:rsidP="0093692D">
            <w:r>
              <w:t>8</w:t>
            </w:r>
          </w:p>
        </w:tc>
        <w:tc>
          <w:tcPr>
            <w:tcW w:w="0" w:type="auto"/>
          </w:tcPr>
          <w:p w14:paraId="5B783C79" w14:textId="77777777" w:rsidR="0051168C" w:rsidRDefault="0051168C" w:rsidP="0093692D">
            <w:r>
              <w:t>5</w:t>
            </w:r>
          </w:p>
        </w:tc>
        <w:tc>
          <w:tcPr>
            <w:tcW w:w="0" w:type="auto"/>
          </w:tcPr>
          <w:p w14:paraId="2EB4C1E1" w14:textId="7721B184" w:rsidR="0051168C" w:rsidRDefault="0051168C" w:rsidP="0093692D">
            <w:r>
              <w:t>0</w:t>
            </w:r>
          </w:p>
        </w:tc>
      </w:tr>
      <w:tr w:rsidR="0051168C" w14:paraId="6560EC60" w14:textId="77777777" w:rsidTr="0093692D">
        <w:tc>
          <w:tcPr>
            <w:tcW w:w="0" w:type="auto"/>
          </w:tcPr>
          <w:p w14:paraId="3463C291" w14:textId="77777777" w:rsidR="0051168C" w:rsidRDefault="0051168C" w:rsidP="000020C8">
            <w:r>
              <w:t>Number of SPC staff trained in welfare analysis</w:t>
            </w:r>
          </w:p>
        </w:tc>
        <w:tc>
          <w:tcPr>
            <w:tcW w:w="0" w:type="auto"/>
          </w:tcPr>
          <w:p w14:paraId="722C0A2B" w14:textId="77777777" w:rsidR="0051168C" w:rsidRDefault="0051168C" w:rsidP="000020C8">
            <w:r>
              <w:t>4.1</w:t>
            </w:r>
          </w:p>
        </w:tc>
        <w:tc>
          <w:tcPr>
            <w:tcW w:w="0" w:type="auto"/>
          </w:tcPr>
          <w:p w14:paraId="1E8EF721" w14:textId="6DB02B95" w:rsidR="0051168C" w:rsidRDefault="0051168C" w:rsidP="000020C8">
            <w:r>
              <w:t>5</w:t>
            </w:r>
          </w:p>
        </w:tc>
        <w:tc>
          <w:tcPr>
            <w:tcW w:w="0" w:type="auto"/>
          </w:tcPr>
          <w:p w14:paraId="6DAB68DB" w14:textId="77777777" w:rsidR="0051168C" w:rsidRDefault="0051168C" w:rsidP="000020C8">
            <w:r>
              <w:t>5</w:t>
            </w:r>
          </w:p>
        </w:tc>
        <w:tc>
          <w:tcPr>
            <w:tcW w:w="0" w:type="auto"/>
          </w:tcPr>
          <w:p w14:paraId="63E2786A" w14:textId="1A84EB9E" w:rsidR="0051168C" w:rsidRDefault="0051168C" w:rsidP="000020C8">
            <w:r>
              <w:t>0</w:t>
            </w:r>
          </w:p>
        </w:tc>
      </w:tr>
    </w:tbl>
    <w:p w14:paraId="5258FDF6" w14:textId="77777777" w:rsidR="0093692D" w:rsidRDefault="0093692D" w:rsidP="00092A1D"/>
    <w:p w14:paraId="7B8B5C33" w14:textId="77777777" w:rsidR="004D5DC5" w:rsidRDefault="004D5DC5" w:rsidP="00621E34">
      <w:pPr>
        <w:pStyle w:val="Heading3"/>
      </w:pPr>
      <w:bookmarkStart w:id="8" w:name="_Toc88030661"/>
      <w:r w:rsidRPr="004D5DC5">
        <w:t>Sub-component 2.2: Current Staff Support</w:t>
      </w:r>
      <w:bookmarkEnd w:id="8"/>
    </w:p>
    <w:p w14:paraId="2C5CF9CE" w14:textId="017D1DD4" w:rsidR="00097CFD" w:rsidRDefault="00097CFD" w:rsidP="00097CFD">
      <w:r>
        <w:t>In 202</w:t>
      </w:r>
      <w:r w:rsidR="001B2236">
        <w:t>2</w:t>
      </w:r>
      <w:r>
        <w:t xml:space="preserve">, we estimate the following </w:t>
      </w:r>
      <w:r w:rsidR="000406CC">
        <w:t xml:space="preserve">allocation of days to the Project by </w:t>
      </w:r>
      <w:r>
        <w:t xml:space="preserve">Recurrent Technical Staff </w:t>
      </w:r>
      <w:r w:rsidR="000406CC">
        <w:t>as</w:t>
      </w:r>
      <w:r>
        <w:t>:</w:t>
      </w:r>
    </w:p>
    <w:tbl>
      <w:tblPr>
        <w:tblW w:w="0" w:type="auto"/>
        <w:tblLook w:val="04A0" w:firstRow="1" w:lastRow="0" w:firstColumn="1" w:lastColumn="0" w:noHBand="0" w:noVBand="1"/>
      </w:tblPr>
      <w:tblGrid>
        <w:gridCol w:w="4240"/>
        <w:gridCol w:w="656"/>
        <w:gridCol w:w="5124"/>
      </w:tblGrid>
      <w:tr w:rsidR="001B2236" w:rsidRPr="001B2236" w14:paraId="72E153F1" w14:textId="77777777" w:rsidTr="00606FA3">
        <w:trPr>
          <w:trHeight w:val="285"/>
        </w:trPr>
        <w:tc>
          <w:tcPr>
            <w:tcW w:w="0" w:type="auto"/>
            <w:tcBorders>
              <w:top w:val="nil"/>
              <w:left w:val="nil"/>
              <w:bottom w:val="nil"/>
              <w:right w:val="nil"/>
            </w:tcBorders>
            <w:shd w:val="clear" w:color="auto" w:fill="auto"/>
            <w:noWrap/>
            <w:vAlign w:val="bottom"/>
            <w:hideMark/>
          </w:tcPr>
          <w:p w14:paraId="4CE7038A" w14:textId="77777777" w:rsidR="001B2236" w:rsidRPr="001B2236" w:rsidRDefault="001B2236" w:rsidP="001B2236">
            <w:pPr>
              <w:spacing w:after="0" w:line="240" w:lineRule="auto"/>
              <w:rPr>
                <w:rFonts w:ascii="Calibri" w:eastAsia="Times New Roman" w:hAnsi="Calibri" w:cs="Calibri"/>
                <w:b/>
                <w:bCs/>
                <w:color w:val="000000"/>
                <w:lang w:eastAsia="en-AU"/>
              </w:rPr>
            </w:pPr>
            <w:r w:rsidRPr="001B2236">
              <w:rPr>
                <w:rFonts w:ascii="Calibri" w:eastAsia="Times New Roman" w:hAnsi="Calibri" w:cs="Calibri"/>
                <w:b/>
                <w:bCs/>
                <w:color w:val="000000"/>
                <w:lang w:eastAsia="en-AU"/>
              </w:rPr>
              <w:t>Recurrent Technical Staff</w:t>
            </w:r>
          </w:p>
        </w:tc>
        <w:tc>
          <w:tcPr>
            <w:tcW w:w="0" w:type="auto"/>
            <w:tcBorders>
              <w:top w:val="nil"/>
              <w:left w:val="nil"/>
              <w:bottom w:val="nil"/>
              <w:right w:val="nil"/>
            </w:tcBorders>
            <w:shd w:val="clear" w:color="auto" w:fill="auto"/>
            <w:noWrap/>
            <w:vAlign w:val="bottom"/>
            <w:hideMark/>
          </w:tcPr>
          <w:p w14:paraId="557FA411" w14:textId="77777777" w:rsidR="001B2236" w:rsidRPr="001B2236" w:rsidRDefault="001B2236" w:rsidP="001B2236">
            <w:pPr>
              <w:spacing w:after="0" w:line="240" w:lineRule="auto"/>
              <w:rPr>
                <w:rFonts w:ascii="Calibri" w:eastAsia="Times New Roman" w:hAnsi="Calibri" w:cs="Calibri"/>
                <w:b/>
                <w:bCs/>
                <w:color w:val="000000"/>
                <w:lang w:eastAsia="en-AU"/>
              </w:rPr>
            </w:pPr>
            <w:r w:rsidRPr="001B2236">
              <w:rPr>
                <w:rFonts w:ascii="Calibri" w:eastAsia="Times New Roman" w:hAnsi="Calibri" w:cs="Calibri"/>
                <w:b/>
                <w:bCs/>
                <w:color w:val="000000"/>
                <w:lang w:eastAsia="en-AU"/>
              </w:rPr>
              <w:t>Days</w:t>
            </w:r>
          </w:p>
        </w:tc>
        <w:tc>
          <w:tcPr>
            <w:tcW w:w="0" w:type="auto"/>
            <w:tcBorders>
              <w:top w:val="nil"/>
              <w:left w:val="nil"/>
              <w:bottom w:val="nil"/>
              <w:right w:val="nil"/>
            </w:tcBorders>
            <w:shd w:val="clear" w:color="auto" w:fill="auto"/>
            <w:noWrap/>
            <w:vAlign w:val="bottom"/>
            <w:hideMark/>
          </w:tcPr>
          <w:p w14:paraId="1CC5FF56" w14:textId="77777777" w:rsidR="001B2236" w:rsidRPr="001B2236" w:rsidRDefault="001B2236" w:rsidP="001B2236">
            <w:pPr>
              <w:spacing w:after="0" w:line="240" w:lineRule="auto"/>
              <w:rPr>
                <w:rFonts w:ascii="Calibri" w:eastAsia="Times New Roman" w:hAnsi="Calibri" w:cs="Calibri"/>
                <w:b/>
                <w:bCs/>
                <w:color w:val="000000"/>
                <w:lang w:eastAsia="en-AU"/>
              </w:rPr>
            </w:pPr>
            <w:r w:rsidRPr="001B2236">
              <w:rPr>
                <w:rFonts w:ascii="Calibri" w:eastAsia="Times New Roman" w:hAnsi="Calibri" w:cs="Calibri"/>
                <w:b/>
                <w:bCs/>
                <w:color w:val="000000"/>
                <w:lang w:eastAsia="en-AU"/>
              </w:rPr>
              <w:t>Activities</w:t>
            </w:r>
          </w:p>
        </w:tc>
      </w:tr>
      <w:tr w:rsidR="001B2236" w:rsidRPr="001B2236" w14:paraId="6B53E910" w14:textId="77777777" w:rsidTr="00606FA3">
        <w:trPr>
          <w:trHeight w:val="285"/>
        </w:trPr>
        <w:tc>
          <w:tcPr>
            <w:tcW w:w="0" w:type="auto"/>
            <w:tcBorders>
              <w:top w:val="single" w:sz="4" w:space="0" w:color="auto"/>
              <w:left w:val="nil"/>
              <w:bottom w:val="nil"/>
              <w:right w:val="nil"/>
            </w:tcBorders>
            <w:shd w:val="clear" w:color="auto" w:fill="auto"/>
            <w:noWrap/>
            <w:vAlign w:val="bottom"/>
            <w:hideMark/>
          </w:tcPr>
          <w:p w14:paraId="495E2C40"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Economic Statistics &amp; Microdata Specialist</w:t>
            </w:r>
          </w:p>
        </w:tc>
        <w:tc>
          <w:tcPr>
            <w:tcW w:w="0" w:type="auto"/>
            <w:tcBorders>
              <w:top w:val="single" w:sz="4" w:space="0" w:color="auto"/>
              <w:left w:val="nil"/>
              <w:bottom w:val="nil"/>
              <w:right w:val="nil"/>
            </w:tcBorders>
            <w:shd w:val="clear" w:color="auto" w:fill="auto"/>
            <w:noWrap/>
            <w:vAlign w:val="bottom"/>
            <w:hideMark/>
          </w:tcPr>
          <w:p w14:paraId="3CD47C13" w14:textId="77777777" w:rsidR="001B2236" w:rsidRPr="001B2236" w:rsidRDefault="001B2236" w:rsidP="001B2236">
            <w:pPr>
              <w:spacing w:after="0" w:line="240" w:lineRule="auto"/>
              <w:jc w:val="right"/>
              <w:rPr>
                <w:rFonts w:ascii="Calibri" w:eastAsia="Times New Roman" w:hAnsi="Calibri" w:cs="Calibri"/>
                <w:color w:val="000000"/>
                <w:lang w:eastAsia="en-AU"/>
              </w:rPr>
            </w:pPr>
            <w:r w:rsidRPr="001B2236">
              <w:rPr>
                <w:rFonts w:ascii="Calibri" w:eastAsia="Times New Roman" w:hAnsi="Calibri" w:cs="Calibri"/>
                <w:color w:val="000000"/>
                <w:lang w:eastAsia="en-AU"/>
              </w:rPr>
              <w:t>52</w:t>
            </w:r>
          </w:p>
        </w:tc>
        <w:tc>
          <w:tcPr>
            <w:tcW w:w="0" w:type="auto"/>
            <w:tcBorders>
              <w:top w:val="single" w:sz="4" w:space="0" w:color="auto"/>
              <w:left w:val="nil"/>
              <w:bottom w:val="nil"/>
              <w:right w:val="nil"/>
            </w:tcBorders>
            <w:shd w:val="clear" w:color="auto" w:fill="auto"/>
            <w:noWrap/>
            <w:vAlign w:val="bottom"/>
            <w:hideMark/>
          </w:tcPr>
          <w:p w14:paraId="3EA8C32A"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Project management; technical contribution</w:t>
            </w:r>
          </w:p>
        </w:tc>
      </w:tr>
      <w:tr w:rsidR="001B2236" w:rsidRPr="001B2236" w14:paraId="5E5D7E62" w14:textId="77777777" w:rsidTr="00606FA3">
        <w:trPr>
          <w:trHeight w:val="285"/>
        </w:trPr>
        <w:tc>
          <w:tcPr>
            <w:tcW w:w="0" w:type="auto"/>
            <w:tcBorders>
              <w:top w:val="nil"/>
              <w:left w:val="nil"/>
              <w:bottom w:val="nil"/>
              <w:right w:val="nil"/>
            </w:tcBorders>
            <w:shd w:val="clear" w:color="auto" w:fill="auto"/>
            <w:noWrap/>
            <w:vAlign w:val="bottom"/>
            <w:hideMark/>
          </w:tcPr>
          <w:p w14:paraId="0D20FD9B"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Finance and Administration Officer</w:t>
            </w:r>
          </w:p>
        </w:tc>
        <w:tc>
          <w:tcPr>
            <w:tcW w:w="0" w:type="auto"/>
            <w:tcBorders>
              <w:top w:val="nil"/>
              <w:left w:val="nil"/>
              <w:bottom w:val="nil"/>
              <w:right w:val="nil"/>
            </w:tcBorders>
            <w:shd w:val="clear" w:color="auto" w:fill="auto"/>
            <w:noWrap/>
            <w:vAlign w:val="bottom"/>
            <w:hideMark/>
          </w:tcPr>
          <w:p w14:paraId="45ADE146" w14:textId="77777777" w:rsidR="001B2236" w:rsidRPr="001B2236" w:rsidRDefault="001B2236" w:rsidP="001B2236">
            <w:pPr>
              <w:spacing w:after="0" w:line="240" w:lineRule="auto"/>
              <w:jc w:val="right"/>
              <w:rPr>
                <w:rFonts w:ascii="Calibri" w:eastAsia="Times New Roman" w:hAnsi="Calibri" w:cs="Calibri"/>
                <w:color w:val="000000"/>
                <w:lang w:eastAsia="en-AU"/>
              </w:rPr>
            </w:pPr>
            <w:r w:rsidRPr="001B2236">
              <w:rPr>
                <w:rFonts w:ascii="Calibri" w:eastAsia="Times New Roman" w:hAnsi="Calibri" w:cs="Calibri"/>
                <w:color w:val="000000"/>
                <w:lang w:eastAsia="en-AU"/>
              </w:rPr>
              <w:t>26</w:t>
            </w:r>
          </w:p>
        </w:tc>
        <w:tc>
          <w:tcPr>
            <w:tcW w:w="0" w:type="auto"/>
            <w:tcBorders>
              <w:top w:val="nil"/>
              <w:left w:val="nil"/>
              <w:bottom w:val="nil"/>
              <w:right w:val="nil"/>
            </w:tcBorders>
            <w:shd w:val="clear" w:color="auto" w:fill="auto"/>
            <w:noWrap/>
            <w:vAlign w:val="bottom"/>
            <w:hideMark/>
          </w:tcPr>
          <w:p w14:paraId="3AA81C96"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Financial management, project administration</w:t>
            </w:r>
          </w:p>
        </w:tc>
      </w:tr>
      <w:tr w:rsidR="001B2236" w:rsidRPr="001B2236" w14:paraId="4A166780" w14:textId="77777777" w:rsidTr="00606FA3">
        <w:trPr>
          <w:trHeight w:val="285"/>
        </w:trPr>
        <w:tc>
          <w:tcPr>
            <w:tcW w:w="0" w:type="auto"/>
            <w:tcBorders>
              <w:top w:val="nil"/>
              <w:left w:val="nil"/>
              <w:bottom w:val="nil"/>
              <w:right w:val="nil"/>
            </w:tcBorders>
            <w:shd w:val="clear" w:color="auto" w:fill="auto"/>
            <w:noWrap/>
            <w:vAlign w:val="bottom"/>
            <w:hideMark/>
          </w:tcPr>
          <w:p w14:paraId="43C651EA"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Procurement Officer</w:t>
            </w:r>
          </w:p>
        </w:tc>
        <w:tc>
          <w:tcPr>
            <w:tcW w:w="0" w:type="auto"/>
            <w:tcBorders>
              <w:top w:val="nil"/>
              <w:left w:val="nil"/>
              <w:bottom w:val="nil"/>
              <w:right w:val="nil"/>
            </w:tcBorders>
            <w:shd w:val="clear" w:color="auto" w:fill="auto"/>
            <w:noWrap/>
            <w:vAlign w:val="bottom"/>
            <w:hideMark/>
          </w:tcPr>
          <w:p w14:paraId="2A414F75" w14:textId="77777777" w:rsidR="001B2236" w:rsidRPr="001B2236" w:rsidRDefault="001B2236" w:rsidP="001B2236">
            <w:pPr>
              <w:spacing w:after="0" w:line="240" w:lineRule="auto"/>
              <w:jc w:val="right"/>
              <w:rPr>
                <w:rFonts w:ascii="Calibri" w:eastAsia="Times New Roman" w:hAnsi="Calibri" w:cs="Calibri"/>
                <w:color w:val="000000"/>
                <w:lang w:eastAsia="en-AU"/>
              </w:rPr>
            </w:pPr>
            <w:r w:rsidRPr="001B2236">
              <w:rPr>
                <w:rFonts w:ascii="Calibri" w:eastAsia="Times New Roman" w:hAnsi="Calibri" w:cs="Calibri"/>
                <w:color w:val="000000"/>
                <w:lang w:eastAsia="en-AU"/>
              </w:rPr>
              <w:t>26</w:t>
            </w:r>
          </w:p>
        </w:tc>
        <w:tc>
          <w:tcPr>
            <w:tcW w:w="0" w:type="auto"/>
            <w:tcBorders>
              <w:top w:val="nil"/>
              <w:left w:val="nil"/>
              <w:bottom w:val="nil"/>
              <w:right w:val="nil"/>
            </w:tcBorders>
            <w:shd w:val="clear" w:color="auto" w:fill="auto"/>
            <w:noWrap/>
            <w:vAlign w:val="bottom"/>
            <w:hideMark/>
          </w:tcPr>
          <w:p w14:paraId="2691FFFE"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Procurement</w:t>
            </w:r>
          </w:p>
        </w:tc>
      </w:tr>
      <w:tr w:rsidR="001B2236" w:rsidRPr="001B2236" w14:paraId="1A3DDB24" w14:textId="77777777" w:rsidTr="00606FA3">
        <w:trPr>
          <w:trHeight w:val="285"/>
        </w:trPr>
        <w:tc>
          <w:tcPr>
            <w:tcW w:w="0" w:type="auto"/>
            <w:tcBorders>
              <w:top w:val="nil"/>
              <w:left w:val="nil"/>
              <w:bottom w:val="nil"/>
              <w:right w:val="nil"/>
            </w:tcBorders>
            <w:shd w:val="clear" w:color="auto" w:fill="auto"/>
            <w:noWrap/>
            <w:vAlign w:val="bottom"/>
            <w:hideMark/>
          </w:tcPr>
          <w:p w14:paraId="588D6421"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Statistics Advisor</w:t>
            </w:r>
          </w:p>
        </w:tc>
        <w:tc>
          <w:tcPr>
            <w:tcW w:w="0" w:type="auto"/>
            <w:tcBorders>
              <w:top w:val="nil"/>
              <w:left w:val="nil"/>
              <w:bottom w:val="nil"/>
              <w:right w:val="nil"/>
            </w:tcBorders>
            <w:shd w:val="clear" w:color="auto" w:fill="auto"/>
            <w:noWrap/>
            <w:vAlign w:val="bottom"/>
            <w:hideMark/>
          </w:tcPr>
          <w:p w14:paraId="43471C88" w14:textId="7219BA27" w:rsidR="001B2236" w:rsidRPr="001B2236" w:rsidRDefault="001B2236" w:rsidP="001B2236">
            <w:pPr>
              <w:spacing w:after="0" w:line="240" w:lineRule="auto"/>
              <w:jc w:val="right"/>
              <w:rPr>
                <w:rFonts w:ascii="Calibri" w:eastAsia="Times New Roman" w:hAnsi="Calibri" w:cs="Calibri"/>
                <w:color w:val="000000"/>
                <w:lang w:eastAsia="en-AU"/>
              </w:rPr>
            </w:pPr>
            <w:r w:rsidRPr="001B2236">
              <w:rPr>
                <w:rFonts w:ascii="Calibri" w:eastAsia="Times New Roman" w:hAnsi="Calibri" w:cs="Calibri"/>
                <w:color w:val="000000"/>
                <w:lang w:eastAsia="en-AU"/>
              </w:rPr>
              <w:t>1</w:t>
            </w:r>
            <w:r w:rsidR="00606FA3">
              <w:rPr>
                <w:rFonts w:ascii="Calibri" w:eastAsia="Times New Roman" w:hAnsi="Calibri" w:cs="Calibri"/>
                <w:color w:val="000000"/>
                <w:lang w:eastAsia="en-AU"/>
              </w:rPr>
              <w:t>0</w:t>
            </w:r>
          </w:p>
        </w:tc>
        <w:tc>
          <w:tcPr>
            <w:tcW w:w="0" w:type="auto"/>
            <w:tcBorders>
              <w:top w:val="nil"/>
              <w:left w:val="nil"/>
              <w:bottom w:val="nil"/>
              <w:right w:val="nil"/>
            </w:tcBorders>
            <w:shd w:val="clear" w:color="auto" w:fill="auto"/>
            <w:noWrap/>
            <w:vAlign w:val="bottom"/>
            <w:hideMark/>
          </w:tcPr>
          <w:p w14:paraId="1A1E5F61"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Technical contribution to Innovative Experiments</w:t>
            </w:r>
          </w:p>
        </w:tc>
      </w:tr>
      <w:tr w:rsidR="001B2236" w:rsidRPr="001B2236" w14:paraId="59345D27" w14:textId="77777777" w:rsidTr="00606FA3">
        <w:trPr>
          <w:trHeight w:val="285"/>
        </w:trPr>
        <w:tc>
          <w:tcPr>
            <w:tcW w:w="0" w:type="auto"/>
            <w:tcBorders>
              <w:top w:val="nil"/>
              <w:left w:val="nil"/>
              <w:bottom w:val="nil"/>
              <w:right w:val="nil"/>
            </w:tcBorders>
            <w:shd w:val="clear" w:color="auto" w:fill="auto"/>
            <w:noWrap/>
            <w:vAlign w:val="bottom"/>
            <w:hideMark/>
          </w:tcPr>
          <w:p w14:paraId="520CB1D1"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Census and Survey Data Processing Specialist</w:t>
            </w:r>
          </w:p>
        </w:tc>
        <w:tc>
          <w:tcPr>
            <w:tcW w:w="0" w:type="auto"/>
            <w:tcBorders>
              <w:top w:val="nil"/>
              <w:left w:val="nil"/>
              <w:bottom w:val="nil"/>
              <w:right w:val="nil"/>
            </w:tcBorders>
            <w:shd w:val="clear" w:color="auto" w:fill="auto"/>
            <w:noWrap/>
            <w:vAlign w:val="bottom"/>
            <w:hideMark/>
          </w:tcPr>
          <w:p w14:paraId="4C0E928A" w14:textId="1449D5B6" w:rsidR="001B2236" w:rsidRPr="001B2236" w:rsidRDefault="001B2236" w:rsidP="001B2236">
            <w:pPr>
              <w:spacing w:after="0" w:line="240" w:lineRule="auto"/>
              <w:jc w:val="right"/>
              <w:rPr>
                <w:rFonts w:ascii="Calibri" w:eastAsia="Times New Roman" w:hAnsi="Calibri" w:cs="Calibri"/>
                <w:color w:val="000000"/>
                <w:lang w:eastAsia="en-AU"/>
              </w:rPr>
            </w:pPr>
            <w:r w:rsidRPr="001B2236">
              <w:rPr>
                <w:rFonts w:ascii="Calibri" w:eastAsia="Times New Roman" w:hAnsi="Calibri" w:cs="Calibri"/>
                <w:color w:val="000000"/>
                <w:lang w:eastAsia="en-AU"/>
              </w:rPr>
              <w:t>1</w:t>
            </w:r>
            <w:r w:rsidR="00606FA3">
              <w:rPr>
                <w:rFonts w:ascii="Calibri" w:eastAsia="Times New Roman" w:hAnsi="Calibri" w:cs="Calibri"/>
                <w:color w:val="000000"/>
                <w:lang w:eastAsia="en-AU"/>
              </w:rPr>
              <w:t>5</w:t>
            </w:r>
          </w:p>
        </w:tc>
        <w:tc>
          <w:tcPr>
            <w:tcW w:w="0" w:type="auto"/>
            <w:tcBorders>
              <w:top w:val="nil"/>
              <w:left w:val="nil"/>
              <w:bottom w:val="nil"/>
              <w:right w:val="nil"/>
            </w:tcBorders>
            <w:shd w:val="clear" w:color="auto" w:fill="auto"/>
            <w:noWrap/>
            <w:vAlign w:val="bottom"/>
            <w:hideMark/>
          </w:tcPr>
          <w:p w14:paraId="66189C63"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CAPI programming and data processing</w:t>
            </w:r>
          </w:p>
        </w:tc>
      </w:tr>
      <w:tr w:rsidR="001B2236" w:rsidRPr="001B2236" w14:paraId="2D124885" w14:textId="77777777" w:rsidTr="00606FA3">
        <w:trPr>
          <w:trHeight w:val="285"/>
        </w:trPr>
        <w:tc>
          <w:tcPr>
            <w:tcW w:w="0" w:type="auto"/>
            <w:tcBorders>
              <w:top w:val="nil"/>
              <w:left w:val="nil"/>
              <w:bottom w:val="single" w:sz="4" w:space="0" w:color="auto"/>
              <w:right w:val="nil"/>
            </w:tcBorders>
            <w:shd w:val="clear" w:color="auto" w:fill="auto"/>
            <w:noWrap/>
            <w:vAlign w:val="bottom"/>
            <w:hideMark/>
          </w:tcPr>
          <w:p w14:paraId="48E67D2E"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Director</w:t>
            </w:r>
          </w:p>
        </w:tc>
        <w:tc>
          <w:tcPr>
            <w:tcW w:w="0" w:type="auto"/>
            <w:tcBorders>
              <w:top w:val="nil"/>
              <w:left w:val="nil"/>
              <w:bottom w:val="single" w:sz="4" w:space="0" w:color="auto"/>
              <w:right w:val="nil"/>
            </w:tcBorders>
            <w:shd w:val="clear" w:color="auto" w:fill="auto"/>
            <w:noWrap/>
            <w:vAlign w:val="bottom"/>
            <w:hideMark/>
          </w:tcPr>
          <w:p w14:paraId="4D5D29A6" w14:textId="77777777" w:rsidR="001B2236" w:rsidRPr="001B2236" w:rsidRDefault="001B2236" w:rsidP="001B2236">
            <w:pPr>
              <w:spacing w:after="0" w:line="240" w:lineRule="auto"/>
              <w:jc w:val="right"/>
              <w:rPr>
                <w:rFonts w:ascii="Calibri" w:eastAsia="Times New Roman" w:hAnsi="Calibri" w:cs="Calibri"/>
                <w:color w:val="000000"/>
                <w:lang w:eastAsia="en-AU"/>
              </w:rPr>
            </w:pPr>
            <w:r w:rsidRPr="001B2236">
              <w:rPr>
                <w:rFonts w:ascii="Calibri" w:eastAsia="Times New Roman" w:hAnsi="Calibri" w:cs="Calibri"/>
                <w:color w:val="000000"/>
                <w:lang w:eastAsia="en-AU"/>
              </w:rPr>
              <w:t>5</w:t>
            </w:r>
          </w:p>
        </w:tc>
        <w:tc>
          <w:tcPr>
            <w:tcW w:w="0" w:type="auto"/>
            <w:tcBorders>
              <w:top w:val="nil"/>
              <w:left w:val="nil"/>
              <w:bottom w:val="single" w:sz="4" w:space="0" w:color="auto"/>
              <w:right w:val="nil"/>
            </w:tcBorders>
            <w:shd w:val="clear" w:color="auto" w:fill="auto"/>
            <w:noWrap/>
            <w:vAlign w:val="bottom"/>
            <w:hideMark/>
          </w:tcPr>
          <w:p w14:paraId="0A139A47" w14:textId="77777777" w:rsidR="001B2236" w:rsidRPr="001B2236" w:rsidRDefault="001B2236" w:rsidP="001B2236">
            <w:pPr>
              <w:spacing w:after="0" w:line="240" w:lineRule="auto"/>
              <w:rPr>
                <w:rFonts w:ascii="Calibri" w:eastAsia="Times New Roman" w:hAnsi="Calibri" w:cs="Calibri"/>
                <w:color w:val="000000"/>
                <w:lang w:eastAsia="en-AU"/>
              </w:rPr>
            </w:pPr>
            <w:r w:rsidRPr="001B2236">
              <w:rPr>
                <w:rFonts w:ascii="Calibri" w:eastAsia="Times New Roman" w:hAnsi="Calibri" w:cs="Calibri"/>
                <w:color w:val="000000"/>
                <w:lang w:eastAsia="en-AU"/>
              </w:rPr>
              <w:t>Project management; technical contribution; Chair PSC</w:t>
            </w:r>
          </w:p>
        </w:tc>
      </w:tr>
    </w:tbl>
    <w:p w14:paraId="1699DD67" w14:textId="77777777" w:rsidR="0051168C" w:rsidRDefault="0051168C" w:rsidP="0051168C">
      <w:pPr>
        <w:pStyle w:val="NoSpacing"/>
      </w:pPr>
    </w:p>
    <w:p w14:paraId="1C918F17" w14:textId="6C6916BA" w:rsidR="00C95D40" w:rsidRPr="00C95D40" w:rsidRDefault="00AE4B36" w:rsidP="00FD45BB">
      <w:r>
        <w:t>Corporate Support services will be required</w:t>
      </w:r>
      <w:r w:rsidR="00FD45BB">
        <w:t xml:space="preserve"> for implementation of the annual work plan.</w:t>
      </w:r>
    </w:p>
    <w:p w14:paraId="172B20B4" w14:textId="77777777" w:rsidR="004D5DC5" w:rsidRDefault="004D5DC5" w:rsidP="00621E34">
      <w:pPr>
        <w:pStyle w:val="Heading3"/>
      </w:pPr>
      <w:bookmarkStart w:id="9" w:name="_Toc88030662"/>
      <w:r w:rsidRPr="004D5DC5">
        <w:t>Sub-component 2.3: Implementation Support</w:t>
      </w:r>
      <w:bookmarkEnd w:id="9"/>
    </w:p>
    <w:p w14:paraId="6C924778" w14:textId="75DA4882" w:rsidR="00C95D40" w:rsidRPr="00C95D40" w:rsidRDefault="00E853B2" w:rsidP="00E853B2">
      <w:r>
        <w:t>In 202</w:t>
      </w:r>
      <w:r w:rsidR="001B2236">
        <w:t>2</w:t>
      </w:r>
      <w:r>
        <w:t>, the Project will upgrade the IT Training Room and the SDD Meeting Room.  The Project will also provide ICT support to the Consultants</w:t>
      </w:r>
      <w:r w:rsidR="00D118EC">
        <w:t xml:space="preserve"> (e.g., laptops, Stata licenses, other as required)</w:t>
      </w:r>
      <w:r>
        <w:t>.</w:t>
      </w:r>
    </w:p>
    <w:p w14:paraId="42CCBBA2" w14:textId="77777777" w:rsidR="004D5DC5" w:rsidRDefault="004D5DC5" w:rsidP="00621E34">
      <w:pPr>
        <w:pStyle w:val="Heading2"/>
      </w:pPr>
      <w:bookmarkStart w:id="10" w:name="_Toc88030663"/>
      <w:r w:rsidRPr="004D5DC5">
        <w:lastRenderedPageBreak/>
        <w:t>Component 3: Alternative data collection</w:t>
      </w:r>
      <w:r w:rsidR="001E57E0">
        <w:t xml:space="preserve"> methods</w:t>
      </w:r>
      <w:bookmarkEnd w:id="10"/>
    </w:p>
    <w:p w14:paraId="43470533" w14:textId="77777777" w:rsidR="00A37499" w:rsidRDefault="0003474E" w:rsidP="0003474E">
      <w:r>
        <w:t xml:space="preserve">This component of the Project is designed to </w:t>
      </w:r>
      <w:proofErr w:type="gramStart"/>
      <w:r>
        <w:t>cover:</w:t>
      </w:r>
      <w:proofErr w:type="gramEnd"/>
      <w:r>
        <w:t xml:space="preserve"> i.</w:t>
      </w:r>
      <w:r w:rsidR="00A37499">
        <w:t xml:space="preserve"> the costs of</w:t>
      </w:r>
      <w:r w:rsidR="00A37499" w:rsidRPr="009740C1">
        <w:t xml:space="preserve"> develop</w:t>
      </w:r>
      <w:r w:rsidR="00A37499">
        <w:t>ing</w:t>
      </w:r>
      <w:r w:rsidR="00A37499" w:rsidRPr="009740C1">
        <w:t xml:space="preserve"> th</w:t>
      </w:r>
      <w:r w:rsidR="00A37499">
        <w:t>e experiments</w:t>
      </w:r>
      <w:r>
        <w:t xml:space="preserve">; ii. </w:t>
      </w:r>
      <w:r w:rsidR="00A37499">
        <w:t>the costs of implementing the experiments</w:t>
      </w:r>
      <w:r>
        <w:t>;</w:t>
      </w:r>
      <w:r w:rsidR="00A37499">
        <w:t xml:space="preserve"> and </w:t>
      </w:r>
      <w:r>
        <w:t>iii.</w:t>
      </w:r>
      <w:r w:rsidR="00A37499">
        <w:t xml:space="preserve"> the costs associated with preparing the analytical reports, submitting them for PSMB review, and broadly disseminating the results across the Pacific</w:t>
      </w:r>
      <w:r w:rsidR="00A37499" w:rsidRPr="009740C1">
        <w:t>.</w:t>
      </w:r>
    </w:p>
    <w:p w14:paraId="169F5D15" w14:textId="020C44B8" w:rsidR="0053079C" w:rsidRDefault="0053079C" w:rsidP="0003474E">
      <w:r>
        <w:t xml:space="preserve">The activities proposed herein will be supported by the Long-Term Consultants (Statistics Advisor and Welfare Economist).  </w:t>
      </w:r>
      <w:r w:rsidR="00856D49">
        <w:t xml:space="preserve">The Project budget has allocated 40% of the cost, and therefore time, of the two </w:t>
      </w:r>
      <w:r w:rsidR="00957A49">
        <w:t>L</w:t>
      </w:r>
      <w:r w:rsidR="00856D49">
        <w:t>ong-</w:t>
      </w:r>
      <w:r w:rsidR="00957A49">
        <w:t>T</w:t>
      </w:r>
      <w:r w:rsidR="00856D49">
        <w:t>erm Consultants (Statistics Advisor and Welfare Economist) towards activities under Component 3 of the Project.</w:t>
      </w:r>
    </w:p>
    <w:p w14:paraId="574A809A" w14:textId="22B3E8B4" w:rsidR="00957A49" w:rsidRDefault="00957A49" w:rsidP="0003474E">
      <w:r>
        <w:t xml:space="preserve">Two Innovative Experiment are planned to be conducted in 2022.  </w:t>
      </w:r>
      <w:r w:rsidR="00FA4EA4">
        <w:t>At this stage, the Project Steering Committee has agreed to progress with the preparation of Research Proposals for the Innovative Experiments of:</w:t>
      </w:r>
    </w:p>
    <w:p w14:paraId="0F3EDA0D" w14:textId="6AF31528" w:rsidR="00FA4EA4" w:rsidRDefault="00FA4EA4" w:rsidP="00FA4EA4">
      <w:pPr>
        <w:pStyle w:val="ListParagraph"/>
        <w:numPr>
          <w:ilvl w:val="0"/>
          <w:numId w:val="31"/>
        </w:numPr>
      </w:pPr>
      <w:r>
        <w:t>Tuvalu Long-Form Census; and</w:t>
      </w:r>
    </w:p>
    <w:p w14:paraId="0A7FA296" w14:textId="6E6D7C9B" w:rsidR="00FA4EA4" w:rsidRDefault="00FA4EA4" w:rsidP="00FA4EA4">
      <w:pPr>
        <w:pStyle w:val="ListParagraph"/>
        <w:numPr>
          <w:ilvl w:val="0"/>
          <w:numId w:val="31"/>
        </w:numPr>
      </w:pPr>
      <w:r w:rsidRPr="00FA4EA4">
        <w:t>Refine the methodology to estimate dietary energy content in food prepared and consumed away from home</w:t>
      </w:r>
      <w:r>
        <w:t>.</w:t>
      </w:r>
    </w:p>
    <w:p w14:paraId="1F8B7CEF" w14:textId="71E23155" w:rsidR="00A200C6" w:rsidRDefault="00A200C6" w:rsidP="0003474E">
      <w:r>
        <w:t>The Research Proposal will follow the template as set out in the POM.</w:t>
      </w:r>
    </w:p>
    <w:p w14:paraId="7AC2A326" w14:textId="59DA1CB0" w:rsidR="00FC41B0" w:rsidRDefault="00FC41B0" w:rsidP="0003474E">
      <w:r>
        <w:t xml:space="preserve">Prior to the meeting of PSMB in </w:t>
      </w:r>
      <w:r w:rsidR="005D5CBD">
        <w:t xml:space="preserve">April and </w:t>
      </w:r>
      <w:r>
        <w:t xml:space="preserve">October, the Project will call for proposals for Innovative Experiments, as per the procedures described in the POM.  </w:t>
      </w:r>
      <w:r w:rsidR="00E349FA">
        <w:t xml:space="preserve">PSMB will, therefore, </w:t>
      </w:r>
      <w:proofErr w:type="gramStart"/>
      <w:r w:rsidR="00E349FA">
        <w:t>have the opportunity to</w:t>
      </w:r>
      <w:proofErr w:type="gramEnd"/>
      <w:r w:rsidR="00E349FA">
        <w:t xml:space="preserve"> review and provide input to the proposed Innovative Experiments, which will guide the</w:t>
      </w:r>
      <w:r w:rsidR="00A200C6">
        <w:t xml:space="preserve"> Project to prepare more Research Proposals in 2022</w:t>
      </w:r>
      <w:r w:rsidR="00E349FA">
        <w:t>.</w:t>
      </w:r>
      <w:r w:rsidR="006C0407">
        <w:t xml:space="preserve">  </w:t>
      </w:r>
    </w:p>
    <w:p w14:paraId="17F9F5AC" w14:textId="77777777" w:rsidR="004D5DC5" w:rsidRDefault="004D5DC5" w:rsidP="00621E34">
      <w:pPr>
        <w:pStyle w:val="Heading3"/>
      </w:pPr>
      <w:bookmarkStart w:id="11" w:name="_Toc88030664"/>
      <w:r w:rsidRPr="004D5DC5">
        <w:t>Sub-component 3.1: Innovations Technical Support</w:t>
      </w:r>
      <w:bookmarkEnd w:id="11"/>
    </w:p>
    <w:p w14:paraId="6B528D8A" w14:textId="19DF48C4" w:rsidR="006C0407" w:rsidRDefault="006C0407" w:rsidP="006C0407">
      <w:r>
        <w:t>In 202</w:t>
      </w:r>
      <w:r w:rsidR="00A96D89">
        <w:t>2</w:t>
      </w:r>
      <w:r>
        <w:t xml:space="preserve">, the project will request for proposals for Innovative Experiments, as per the procedures outlined in the POM.  </w:t>
      </w:r>
      <w:r w:rsidR="003B63BC">
        <w:t xml:space="preserve">Following the request for proposals and the </w:t>
      </w:r>
      <w:r w:rsidR="00A96D89">
        <w:t xml:space="preserve">April and </w:t>
      </w:r>
      <w:r w:rsidR="003B63BC">
        <w:t>October meeting of PSMB, a minimum of two Innovative Experiments will be selected for development into a Research Proposal, following the structure of the POM.  Two Research Proposals will be drafted by the Project in 202</w:t>
      </w:r>
      <w:r w:rsidR="00A96D89">
        <w:t>2</w:t>
      </w:r>
      <w:r w:rsidR="003B63BC">
        <w:t>.</w:t>
      </w:r>
    </w:p>
    <w:p w14:paraId="590CE0F7" w14:textId="77777777" w:rsidR="002D1F6D" w:rsidRDefault="003B63BC" w:rsidP="003B63BC">
      <w:r>
        <w:t xml:space="preserve">It is noted that the PAD highlights that the development of the Innovative Experiments will occur through an </w:t>
      </w:r>
      <w:proofErr w:type="gramStart"/>
      <w:r>
        <w:t>e</w:t>
      </w:r>
      <w:r w:rsidR="0003474E" w:rsidRPr="00A37499">
        <w:t>xtensive consultations</w:t>
      </w:r>
      <w:proofErr w:type="gramEnd"/>
      <w:r w:rsidR="0003474E" w:rsidRPr="00A37499">
        <w:t xml:space="preserve"> with </w:t>
      </w:r>
      <w:r>
        <w:t>National Statistics Agencies</w:t>
      </w:r>
      <w:r w:rsidR="0003474E" w:rsidRPr="00A37499">
        <w:t xml:space="preserve"> in IDA-eligible </w:t>
      </w:r>
      <w:r>
        <w:t>B</w:t>
      </w:r>
      <w:r w:rsidR="0003474E" w:rsidRPr="00A37499">
        <w:t xml:space="preserve">eneficiary </w:t>
      </w:r>
      <w:r>
        <w:t>C</w:t>
      </w:r>
      <w:r w:rsidR="0003474E" w:rsidRPr="00A37499">
        <w:t>ountries</w:t>
      </w:r>
      <w:r>
        <w:t>.</w:t>
      </w:r>
      <w:r w:rsidR="002F1FED">
        <w:t xml:space="preserve">  As per the POM, the Research Proposals are to include commentary on the conceptualisation and development of the Innovative Experiment and the consultation process.</w:t>
      </w:r>
    </w:p>
    <w:p w14:paraId="21A41783" w14:textId="77777777" w:rsidR="00AB221F" w:rsidRDefault="00AB221F" w:rsidP="00AB221F">
      <w:r>
        <w:t>Under Sub-component 3.1, the Project will deliver:</w:t>
      </w:r>
    </w:p>
    <w:tbl>
      <w:tblPr>
        <w:tblStyle w:val="TableGrid"/>
        <w:tblW w:w="0" w:type="auto"/>
        <w:tblLook w:val="04A0" w:firstRow="1" w:lastRow="0" w:firstColumn="1" w:lastColumn="0" w:noHBand="0" w:noVBand="1"/>
      </w:tblPr>
      <w:tblGrid>
        <w:gridCol w:w="4268"/>
        <w:gridCol w:w="1323"/>
        <w:gridCol w:w="1081"/>
        <w:gridCol w:w="1243"/>
        <w:gridCol w:w="1256"/>
        <w:gridCol w:w="905"/>
      </w:tblGrid>
      <w:tr w:rsidR="00B43857" w14:paraId="3E1BE628" w14:textId="77777777" w:rsidTr="0093692D">
        <w:tc>
          <w:tcPr>
            <w:tcW w:w="0" w:type="auto"/>
          </w:tcPr>
          <w:p w14:paraId="2F26B5E9" w14:textId="77777777" w:rsidR="00B43857" w:rsidRPr="0096508F" w:rsidRDefault="00B43857" w:rsidP="0093692D">
            <w:pPr>
              <w:rPr>
                <w:b/>
              </w:rPr>
            </w:pPr>
            <w:r>
              <w:rPr>
                <w:b/>
              </w:rPr>
              <w:t>Deliverable</w:t>
            </w:r>
          </w:p>
        </w:tc>
        <w:tc>
          <w:tcPr>
            <w:tcW w:w="0" w:type="auto"/>
          </w:tcPr>
          <w:p w14:paraId="7B1D83C2" w14:textId="77777777" w:rsidR="00B43857" w:rsidRPr="0096508F" w:rsidRDefault="00B43857" w:rsidP="0093692D">
            <w:pPr>
              <w:rPr>
                <w:b/>
              </w:rPr>
            </w:pPr>
            <w:r>
              <w:rPr>
                <w:b/>
              </w:rPr>
              <w:t>PD</w:t>
            </w:r>
            <w:r w:rsidRPr="0096508F">
              <w:rPr>
                <w:b/>
              </w:rPr>
              <w:t>O Indicator</w:t>
            </w:r>
          </w:p>
        </w:tc>
        <w:tc>
          <w:tcPr>
            <w:tcW w:w="0" w:type="auto"/>
          </w:tcPr>
          <w:p w14:paraId="36549AB2" w14:textId="4AFB4F65" w:rsidR="00B43857" w:rsidRPr="0096508F" w:rsidRDefault="00B43857" w:rsidP="0093692D">
            <w:pPr>
              <w:rPr>
                <w:b/>
              </w:rPr>
            </w:pPr>
            <w:r w:rsidRPr="0096508F">
              <w:rPr>
                <w:b/>
              </w:rPr>
              <w:t>202</w:t>
            </w:r>
            <w:r w:rsidR="005E6A03">
              <w:rPr>
                <w:b/>
              </w:rPr>
              <w:t>2</w:t>
            </w:r>
            <w:r w:rsidRPr="0096508F">
              <w:rPr>
                <w:b/>
              </w:rPr>
              <w:t xml:space="preserve"> target</w:t>
            </w:r>
          </w:p>
        </w:tc>
        <w:tc>
          <w:tcPr>
            <w:tcW w:w="0" w:type="auto"/>
          </w:tcPr>
          <w:p w14:paraId="66BF63D2" w14:textId="77777777" w:rsidR="00B43857" w:rsidRPr="0096508F" w:rsidRDefault="00B43857" w:rsidP="0093692D">
            <w:pPr>
              <w:rPr>
                <w:b/>
              </w:rPr>
            </w:pPr>
            <w:r w:rsidRPr="0096508F">
              <w:rPr>
                <w:b/>
              </w:rPr>
              <w:t>Project target</w:t>
            </w:r>
          </w:p>
        </w:tc>
        <w:tc>
          <w:tcPr>
            <w:tcW w:w="0" w:type="auto"/>
          </w:tcPr>
          <w:p w14:paraId="5765623A" w14:textId="77777777" w:rsidR="00B43857" w:rsidRPr="0096508F" w:rsidRDefault="00B43857" w:rsidP="0093692D">
            <w:pPr>
              <w:rPr>
                <w:b/>
              </w:rPr>
            </w:pPr>
            <w:r w:rsidRPr="0096508F">
              <w:rPr>
                <w:b/>
              </w:rPr>
              <w:t>Cumulative</w:t>
            </w:r>
          </w:p>
        </w:tc>
        <w:tc>
          <w:tcPr>
            <w:tcW w:w="0" w:type="auto"/>
          </w:tcPr>
          <w:p w14:paraId="67763D55" w14:textId="77777777" w:rsidR="00B43857" w:rsidRPr="0096508F" w:rsidRDefault="00B43857" w:rsidP="0093692D">
            <w:pPr>
              <w:rPr>
                <w:b/>
              </w:rPr>
            </w:pPr>
            <w:r>
              <w:rPr>
                <w:b/>
              </w:rPr>
              <w:t>Status</w:t>
            </w:r>
          </w:p>
        </w:tc>
      </w:tr>
      <w:tr w:rsidR="00B43857" w14:paraId="40CA350D" w14:textId="77777777" w:rsidTr="0093692D">
        <w:tc>
          <w:tcPr>
            <w:tcW w:w="0" w:type="auto"/>
          </w:tcPr>
          <w:p w14:paraId="4F59652C" w14:textId="77777777" w:rsidR="00B43857" w:rsidRDefault="00B43857" w:rsidP="00B43857">
            <w:r>
              <w:t>Consultations held in the development of the Research Proposal</w:t>
            </w:r>
          </w:p>
        </w:tc>
        <w:tc>
          <w:tcPr>
            <w:tcW w:w="0" w:type="auto"/>
          </w:tcPr>
          <w:p w14:paraId="338B1E41" w14:textId="77777777" w:rsidR="00B43857" w:rsidRDefault="00B43857" w:rsidP="00B43857">
            <w:r>
              <w:t>4.5</w:t>
            </w:r>
          </w:p>
        </w:tc>
        <w:tc>
          <w:tcPr>
            <w:tcW w:w="0" w:type="auto"/>
          </w:tcPr>
          <w:p w14:paraId="7B147236" w14:textId="770132EF" w:rsidR="00B43857" w:rsidRDefault="005E6A03" w:rsidP="00B43857">
            <w:r>
              <w:t>9</w:t>
            </w:r>
          </w:p>
        </w:tc>
        <w:tc>
          <w:tcPr>
            <w:tcW w:w="0" w:type="auto"/>
          </w:tcPr>
          <w:p w14:paraId="5A6E7036" w14:textId="77777777" w:rsidR="00B43857" w:rsidRDefault="00B43857" w:rsidP="00B43857">
            <w:r>
              <w:t>12</w:t>
            </w:r>
          </w:p>
        </w:tc>
        <w:tc>
          <w:tcPr>
            <w:tcW w:w="0" w:type="auto"/>
          </w:tcPr>
          <w:p w14:paraId="59D3A55A" w14:textId="00AF1398" w:rsidR="00B43857" w:rsidRDefault="005E6A03" w:rsidP="00B43857">
            <w:r>
              <w:t>0</w:t>
            </w:r>
          </w:p>
        </w:tc>
        <w:tc>
          <w:tcPr>
            <w:tcW w:w="0" w:type="auto"/>
          </w:tcPr>
          <w:p w14:paraId="277B5074" w14:textId="77777777" w:rsidR="00B43857" w:rsidRDefault="00B43857" w:rsidP="00B43857">
            <w:r>
              <w:t>On track</w:t>
            </w:r>
          </w:p>
        </w:tc>
      </w:tr>
      <w:tr w:rsidR="00B43857" w14:paraId="0FBE4288" w14:textId="77777777" w:rsidTr="0093692D">
        <w:tc>
          <w:tcPr>
            <w:tcW w:w="0" w:type="auto"/>
          </w:tcPr>
          <w:p w14:paraId="2862156E" w14:textId="77777777" w:rsidR="00B43857" w:rsidRDefault="00B43857" w:rsidP="00B43857">
            <w:r>
              <w:t>PICs satisfied that input is reflected in the Research Proposal</w:t>
            </w:r>
          </w:p>
        </w:tc>
        <w:tc>
          <w:tcPr>
            <w:tcW w:w="0" w:type="auto"/>
          </w:tcPr>
          <w:p w14:paraId="55DCF167" w14:textId="77777777" w:rsidR="00B43857" w:rsidRDefault="00B43857" w:rsidP="00B43857">
            <w:r>
              <w:t>4.6</w:t>
            </w:r>
          </w:p>
        </w:tc>
        <w:tc>
          <w:tcPr>
            <w:tcW w:w="0" w:type="auto"/>
          </w:tcPr>
          <w:p w14:paraId="1825F175" w14:textId="31B805F1" w:rsidR="00B43857" w:rsidRDefault="005E6A03" w:rsidP="00B43857">
            <w:r>
              <w:t>6</w:t>
            </w:r>
          </w:p>
        </w:tc>
        <w:tc>
          <w:tcPr>
            <w:tcW w:w="0" w:type="auto"/>
          </w:tcPr>
          <w:p w14:paraId="02ACE4B5" w14:textId="77777777" w:rsidR="00B43857" w:rsidRDefault="00B43857" w:rsidP="00B43857">
            <w:r>
              <w:t>8</w:t>
            </w:r>
          </w:p>
        </w:tc>
        <w:tc>
          <w:tcPr>
            <w:tcW w:w="0" w:type="auto"/>
          </w:tcPr>
          <w:p w14:paraId="3DCEA701" w14:textId="7BC8CC0F" w:rsidR="00B43857" w:rsidRDefault="00B43857" w:rsidP="00B43857">
            <w:r>
              <w:t>0</w:t>
            </w:r>
          </w:p>
        </w:tc>
        <w:tc>
          <w:tcPr>
            <w:tcW w:w="0" w:type="auto"/>
          </w:tcPr>
          <w:p w14:paraId="3BE9B47F" w14:textId="77777777" w:rsidR="00B43857" w:rsidRDefault="00B43857" w:rsidP="00B43857">
            <w:r>
              <w:t>On track</w:t>
            </w:r>
          </w:p>
        </w:tc>
      </w:tr>
      <w:tr w:rsidR="00B43857" w14:paraId="6CEB9EDB" w14:textId="77777777" w:rsidTr="0093692D">
        <w:tc>
          <w:tcPr>
            <w:tcW w:w="0" w:type="auto"/>
          </w:tcPr>
          <w:p w14:paraId="110B1F72" w14:textId="77777777" w:rsidR="00B43857" w:rsidRDefault="00B43857" w:rsidP="00B43857">
            <w:r>
              <w:t>Research Proposals</w:t>
            </w:r>
          </w:p>
        </w:tc>
        <w:tc>
          <w:tcPr>
            <w:tcW w:w="0" w:type="auto"/>
          </w:tcPr>
          <w:p w14:paraId="72C20931" w14:textId="77777777" w:rsidR="00B43857" w:rsidRDefault="00B43857" w:rsidP="00B43857">
            <w:r>
              <w:t>4.7</w:t>
            </w:r>
          </w:p>
        </w:tc>
        <w:tc>
          <w:tcPr>
            <w:tcW w:w="0" w:type="auto"/>
          </w:tcPr>
          <w:p w14:paraId="18E78029" w14:textId="77777777" w:rsidR="00B43857" w:rsidRDefault="00B43857" w:rsidP="00B43857">
            <w:r>
              <w:t>2</w:t>
            </w:r>
          </w:p>
        </w:tc>
        <w:tc>
          <w:tcPr>
            <w:tcW w:w="0" w:type="auto"/>
          </w:tcPr>
          <w:p w14:paraId="042C52FB" w14:textId="77777777" w:rsidR="00B43857" w:rsidRDefault="00B43857" w:rsidP="00B43857">
            <w:r>
              <w:t>10</w:t>
            </w:r>
          </w:p>
        </w:tc>
        <w:tc>
          <w:tcPr>
            <w:tcW w:w="0" w:type="auto"/>
          </w:tcPr>
          <w:p w14:paraId="33780F7F" w14:textId="19B17F5D" w:rsidR="00B43857" w:rsidRDefault="005E6A03" w:rsidP="00B43857">
            <w:r>
              <w:t>2</w:t>
            </w:r>
          </w:p>
        </w:tc>
        <w:tc>
          <w:tcPr>
            <w:tcW w:w="0" w:type="auto"/>
          </w:tcPr>
          <w:p w14:paraId="1FF74A57" w14:textId="77777777" w:rsidR="00B43857" w:rsidRDefault="00B43857" w:rsidP="00B43857">
            <w:r>
              <w:t>On track</w:t>
            </w:r>
          </w:p>
        </w:tc>
      </w:tr>
    </w:tbl>
    <w:p w14:paraId="263A1AB1" w14:textId="77777777" w:rsidR="00B43857" w:rsidRDefault="00B43857" w:rsidP="005E7451">
      <w:pPr>
        <w:spacing w:after="0"/>
      </w:pPr>
    </w:p>
    <w:p w14:paraId="1E1EB7C4" w14:textId="77777777" w:rsidR="004D5DC5" w:rsidRDefault="004D5DC5" w:rsidP="00621E34">
      <w:pPr>
        <w:pStyle w:val="Heading3"/>
      </w:pPr>
      <w:bookmarkStart w:id="12" w:name="_Toc88030665"/>
      <w:r w:rsidRPr="004D5DC5">
        <w:t>Sub-component 3.2: Funding for Innovation Experiments</w:t>
      </w:r>
      <w:bookmarkEnd w:id="12"/>
    </w:p>
    <w:p w14:paraId="142836C8" w14:textId="77777777" w:rsidR="00A4369E" w:rsidRDefault="00A4369E" w:rsidP="00A4369E">
      <w:r>
        <w:t>In 2022, the project will implement the following Innovative Experiments:</w:t>
      </w:r>
    </w:p>
    <w:p w14:paraId="53AF98AD" w14:textId="5BDB56DA" w:rsidR="00A4369E" w:rsidRDefault="00A4369E" w:rsidP="00A4369E">
      <w:pPr>
        <w:pStyle w:val="ListParagraph"/>
        <w:numPr>
          <w:ilvl w:val="0"/>
          <w:numId w:val="32"/>
        </w:numPr>
      </w:pPr>
      <w:r>
        <w:t>Tuvalu Long-Form Census; and</w:t>
      </w:r>
    </w:p>
    <w:p w14:paraId="1280F493" w14:textId="77777777" w:rsidR="00A4369E" w:rsidRDefault="00A4369E" w:rsidP="00A4369E">
      <w:pPr>
        <w:pStyle w:val="ListParagraph"/>
        <w:numPr>
          <w:ilvl w:val="0"/>
          <w:numId w:val="32"/>
        </w:numPr>
      </w:pPr>
      <w:r w:rsidRPr="00FA4EA4">
        <w:t>Refine the methodology to estimate dietary energy content in food prepared and consumed away from home</w:t>
      </w:r>
      <w:r>
        <w:t>.</w:t>
      </w:r>
    </w:p>
    <w:p w14:paraId="1B7CAE46" w14:textId="41967C9F" w:rsidR="002D1F6D" w:rsidRDefault="00A4369E" w:rsidP="00E10EFB">
      <w:r>
        <w:t xml:space="preserve">Further information on </w:t>
      </w:r>
      <w:proofErr w:type="gramStart"/>
      <w:r>
        <w:t>these experiment</w:t>
      </w:r>
      <w:proofErr w:type="gramEnd"/>
      <w:r>
        <w:t xml:space="preserve"> will be included in the Research Proposals.</w:t>
      </w:r>
    </w:p>
    <w:p w14:paraId="193685A1" w14:textId="77777777" w:rsidR="00AB221F" w:rsidRDefault="00AB221F" w:rsidP="00AB221F">
      <w:r>
        <w:t>Under Sub-component 3.2, the Project will deliver:</w:t>
      </w:r>
    </w:p>
    <w:tbl>
      <w:tblPr>
        <w:tblStyle w:val="TableGrid"/>
        <w:tblW w:w="0" w:type="auto"/>
        <w:tblLook w:val="04A0" w:firstRow="1" w:lastRow="0" w:firstColumn="1" w:lastColumn="0" w:noHBand="0" w:noVBand="1"/>
      </w:tblPr>
      <w:tblGrid>
        <w:gridCol w:w="3877"/>
        <w:gridCol w:w="1493"/>
        <w:gridCol w:w="1267"/>
        <w:gridCol w:w="1469"/>
        <w:gridCol w:w="1256"/>
      </w:tblGrid>
      <w:tr w:rsidR="0051168C" w14:paraId="084328FD" w14:textId="77777777" w:rsidTr="0093692D">
        <w:tc>
          <w:tcPr>
            <w:tcW w:w="0" w:type="auto"/>
          </w:tcPr>
          <w:p w14:paraId="5BB12EEE" w14:textId="77777777" w:rsidR="0051168C" w:rsidRPr="0096508F" w:rsidRDefault="0051168C" w:rsidP="0093692D">
            <w:pPr>
              <w:rPr>
                <w:b/>
              </w:rPr>
            </w:pPr>
            <w:r>
              <w:rPr>
                <w:b/>
              </w:rPr>
              <w:lastRenderedPageBreak/>
              <w:t>Deliverable</w:t>
            </w:r>
          </w:p>
        </w:tc>
        <w:tc>
          <w:tcPr>
            <w:tcW w:w="0" w:type="auto"/>
          </w:tcPr>
          <w:p w14:paraId="37623834" w14:textId="77777777" w:rsidR="0051168C" w:rsidRPr="0096508F" w:rsidRDefault="0051168C" w:rsidP="0093692D">
            <w:pPr>
              <w:rPr>
                <w:b/>
              </w:rPr>
            </w:pPr>
            <w:r>
              <w:rPr>
                <w:b/>
              </w:rPr>
              <w:t>PD</w:t>
            </w:r>
            <w:r w:rsidRPr="0096508F">
              <w:rPr>
                <w:b/>
              </w:rPr>
              <w:t>O Indicator</w:t>
            </w:r>
          </w:p>
        </w:tc>
        <w:tc>
          <w:tcPr>
            <w:tcW w:w="0" w:type="auto"/>
          </w:tcPr>
          <w:p w14:paraId="4E12F144" w14:textId="3E53BFBF" w:rsidR="0051168C" w:rsidRPr="0096508F" w:rsidRDefault="0051168C" w:rsidP="0093692D">
            <w:pPr>
              <w:rPr>
                <w:b/>
              </w:rPr>
            </w:pPr>
            <w:r w:rsidRPr="0096508F">
              <w:rPr>
                <w:b/>
              </w:rPr>
              <w:t>202</w:t>
            </w:r>
            <w:r>
              <w:rPr>
                <w:b/>
              </w:rPr>
              <w:t>2</w:t>
            </w:r>
            <w:r w:rsidRPr="0096508F">
              <w:rPr>
                <w:b/>
              </w:rPr>
              <w:t xml:space="preserve"> target</w:t>
            </w:r>
          </w:p>
        </w:tc>
        <w:tc>
          <w:tcPr>
            <w:tcW w:w="0" w:type="auto"/>
          </w:tcPr>
          <w:p w14:paraId="47BE9764" w14:textId="77777777" w:rsidR="0051168C" w:rsidRPr="0096508F" w:rsidRDefault="0051168C" w:rsidP="0093692D">
            <w:pPr>
              <w:rPr>
                <w:b/>
              </w:rPr>
            </w:pPr>
            <w:r w:rsidRPr="0096508F">
              <w:rPr>
                <w:b/>
              </w:rPr>
              <w:t>Project target</w:t>
            </w:r>
          </w:p>
        </w:tc>
        <w:tc>
          <w:tcPr>
            <w:tcW w:w="0" w:type="auto"/>
          </w:tcPr>
          <w:p w14:paraId="75C2C16C" w14:textId="77777777" w:rsidR="0051168C" w:rsidRPr="0096508F" w:rsidRDefault="0051168C" w:rsidP="0093692D">
            <w:pPr>
              <w:rPr>
                <w:b/>
              </w:rPr>
            </w:pPr>
            <w:r w:rsidRPr="0096508F">
              <w:rPr>
                <w:b/>
              </w:rPr>
              <w:t>Cumulative</w:t>
            </w:r>
          </w:p>
        </w:tc>
      </w:tr>
      <w:tr w:rsidR="0051168C" w14:paraId="07D95ED6" w14:textId="77777777" w:rsidTr="0093692D">
        <w:tc>
          <w:tcPr>
            <w:tcW w:w="0" w:type="auto"/>
          </w:tcPr>
          <w:p w14:paraId="13882550" w14:textId="77777777" w:rsidR="0051168C" w:rsidRDefault="0051168C" w:rsidP="0093692D">
            <w:r>
              <w:t>Number of experiment reports produced</w:t>
            </w:r>
          </w:p>
        </w:tc>
        <w:tc>
          <w:tcPr>
            <w:tcW w:w="0" w:type="auto"/>
          </w:tcPr>
          <w:p w14:paraId="690C38C4" w14:textId="77777777" w:rsidR="0051168C" w:rsidRDefault="0051168C" w:rsidP="0093692D">
            <w:r>
              <w:t>1.2</w:t>
            </w:r>
          </w:p>
        </w:tc>
        <w:tc>
          <w:tcPr>
            <w:tcW w:w="0" w:type="auto"/>
          </w:tcPr>
          <w:p w14:paraId="14EA94B7" w14:textId="6719C0A5" w:rsidR="0051168C" w:rsidRDefault="0051168C" w:rsidP="0093692D">
            <w:r>
              <w:t>2</w:t>
            </w:r>
          </w:p>
        </w:tc>
        <w:tc>
          <w:tcPr>
            <w:tcW w:w="0" w:type="auto"/>
          </w:tcPr>
          <w:p w14:paraId="0657FE56" w14:textId="77777777" w:rsidR="0051168C" w:rsidRDefault="0051168C" w:rsidP="0093692D">
            <w:r>
              <w:t>4</w:t>
            </w:r>
          </w:p>
        </w:tc>
        <w:tc>
          <w:tcPr>
            <w:tcW w:w="0" w:type="auto"/>
          </w:tcPr>
          <w:p w14:paraId="78C4D226" w14:textId="62005E7E" w:rsidR="0051168C" w:rsidRDefault="0051168C" w:rsidP="0093692D">
            <w:r>
              <w:t>0</w:t>
            </w:r>
          </w:p>
        </w:tc>
      </w:tr>
    </w:tbl>
    <w:p w14:paraId="3917FE7A" w14:textId="4C3F090A" w:rsidR="00916B32" w:rsidRDefault="00916B32" w:rsidP="00916B32">
      <w:pPr>
        <w:pStyle w:val="Heading1"/>
      </w:pPr>
      <w:bookmarkStart w:id="13" w:name="_Toc88030666"/>
      <w:r>
        <w:t>Travel plans</w:t>
      </w:r>
      <w:bookmarkEnd w:id="13"/>
    </w:p>
    <w:p w14:paraId="294AA1B2" w14:textId="69ACE0A1" w:rsidR="00AC2234" w:rsidRDefault="00AC2234" w:rsidP="00AC2234">
      <w:r>
        <w:t>Based on the work plan presented herein, the following travel is planned:</w:t>
      </w:r>
    </w:p>
    <w:p w14:paraId="28327CB9" w14:textId="001EF084" w:rsidR="00AC2234" w:rsidRDefault="00AC2234" w:rsidP="00AC2234">
      <w:r w:rsidRPr="00AC2234">
        <w:rPr>
          <w:noProof/>
        </w:rPr>
        <w:drawing>
          <wp:inline distT="0" distB="0" distL="0" distR="0" wp14:anchorId="047F0072" wp14:editId="7C37B4C5">
            <wp:extent cx="6404610" cy="1376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4610" cy="1376045"/>
                    </a:xfrm>
                    <a:prstGeom prst="rect">
                      <a:avLst/>
                    </a:prstGeom>
                    <a:noFill/>
                    <a:ln>
                      <a:noFill/>
                    </a:ln>
                  </pic:spPr>
                </pic:pic>
              </a:graphicData>
            </a:graphic>
          </wp:inline>
        </w:drawing>
      </w:r>
    </w:p>
    <w:p w14:paraId="3DFDB0AD" w14:textId="67296B5B" w:rsidR="00AC2234" w:rsidRDefault="00AC2234" w:rsidP="00AC2234">
      <w:r>
        <w:t>As the Long-Term Consultants will be Europe-based for at least 2022 and 2023, the AWP has been prepared to minimise cost of travel by combining activities.</w:t>
      </w:r>
    </w:p>
    <w:p w14:paraId="3B08608B" w14:textId="40745C2D" w:rsidR="00AC2234" w:rsidRDefault="00AC2234" w:rsidP="00AC2234">
      <w:r>
        <w:t>The Statistics Advisor will undertake at least 2 missions, including:</w:t>
      </w:r>
    </w:p>
    <w:p w14:paraId="4B00F114" w14:textId="72CC2BF2" w:rsidR="00AC2234" w:rsidRDefault="00AC2234" w:rsidP="00AC2234">
      <w:pPr>
        <w:pStyle w:val="ListParagraph"/>
        <w:numPr>
          <w:ilvl w:val="0"/>
          <w:numId w:val="33"/>
        </w:numPr>
      </w:pPr>
      <w:r>
        <w:t>Mission 1 in August/September: attend a PSC meeting in Noumea followed by travel to the beneficiary country of Innovative Experiment 2 (FAFH).</w:t>
      </w:r>
    </w:p>
    <w:p w14:paraId="1DBED482" w14:textId="77E1DE3D" w:rsidR="00AC2234" w:rsidRDefault="00AC2234" w:rsidP="00AC2234">
      <w:pPr>
        <w:pStyle w:val="ListParagraph"/>
        <w:numPr>
          <w:ilvl w:val="0"/>
          <w:numId w:val="33"/>
        </w:numPr>
      </w:pPr>
      <w:r>
        <w:t>Mission 2 in October/November: attend PSC meeting in Noumea, attend PSMB meeting in Noumea (or Auckland) and travel to Fiji to deliver and participate in the regional conference on HIES method and poverty assessment method.</w:t>
      </w:r>
    </w:p>
    <w:p w14:paraId="1A60F47F" w14:textId="2914F777" w:rsidR="00856002" w:rsidRDefault="00856002" w:rsidP="00856002">
      <w:r>
        <w:t>The Welfare Economist will undertake at least 2 missions, including:</w:t>
      </w:r>
    </w:p>
    <w:p w14:paraId="14907186" w14:textId="2D3E8F3E" w:rsidR="00856002" w:rsidRDefault="00856002" w:rsidP="00856002">
      <w:pPr>
        <w:pStyle w:val="ListParagraph"/>
        <w:numPr>
          <w:ilvl w:val="0"/>
          <w:numId w:val="34"/>
        </w:numPr>
      </w:pPr>
      <w:r>
        <w:t>Mission 1 in August/September: attend a PSC meeting in Noumea followed by travel to the beneficiary country of Innovative Experiment 2 (Tuvalu Long Form Census).</w:t>
      </w:r>
    </w:p>
    <w:p w14:paraId="045FDCCD" w14:textId="679DF6B8" w:rsidR="00856002" w:rsidRDefault="00856002" w:rsidP="00856002">
      <w:pPr>
        <w:pStyle w:val="ListParagraph"/>
        <w:numPr>
          <w:ilvl w:val="0"/>
          <w:numId w:val="34"/>
        </w:numPr>
      </w:pPr>
      <w:r>
        <w:t>Mission 2 in October/November: attend PSC meeting in Noumea and travel to Fiji to deliver and participate in the regional conferences on HIES method and poverty assessment method.</w:t>
      </w:r>
    </w:p>
    <w:p w14:paraId="33CB2AF4" w14:textId="0A465215" w:rsidR="00856002" w:rsidRDefault="00856002" w:rsidP="00856002">
      <w:r>
        <w:t>In addition to the Long-Term Consultants, SDD Staff will travel as follows:</w:t>
      </w:r>
    </w:p>
    <w:p w14:paraId="764B6B7A" w14:textId="389EF5FA" w:rsidR="00856002" w:rsidRDefault="00856002" w:rsidP="00856002">
      <w:pPr>
        <w:pStyle w:val="ListParagraph"/>
        <w:numPr>
          <w:ilvl w:val="0"/>
          <w:numId w:val="35"/>
        </w:numPr>
      </w:pPr>
      <w:r>
        <w:t>Project Manager:</w:t>
      </w:r>
    </w:p>
    <w:p w14:paraId="7143C5B4" w14:textId="66889892" w:rsidR="00856002" w:rsidRDefault="00856002" w:rsidP="00856002">
      <w:pPr>
        <w:pStyle w:val="ListParagraph"/>
        <w:numPr>
          <w:ilvl w:val="1"/>
          <w:numId w:val="35"/>
        </w:numPr>
      </w:pPr>
      <w:r>
        <w:t>August/September: travel to Beneficiary Country for Innovative Experiment 1</w:t>
      </w:r>
    </w:p>
    <w:p w14:paraId="2151FBA6" w14:textId="39168D90" w:rsidR="00856002" w:rsidRDefault="00856002" w:rsidP="00856002">
      <w:pPr>
        <w:pStyle w:val="ListParagraph"/>
        <w:numPr>
          <w:ilvl w:val="1"/>
          <w:numId w:val="35"/>
        </w:numPr>
      </w:pPr>
      <w:r>
        <w:t>August/September: travel to Beneficiary Country for Innovative Experiment 2</w:t>
      </w:r>
    </w:p>
    <w:p w14:paraId="3141AAD3" w14:textId="59646B6E" w:rsidR="00856002" w:rsidRDefault="00856002" w:rsidP="00856002">
      <w:pPr>
        <w:pStyle w:val="ListParagraph"/>
        <w:numPr>
          <w:ilvl w:val="1"/>
          <w:numId w:val="35"/>
        </w:numPr>
      </w:pPr>
      <w:r>
        <w:t>October/November: travel to Fiji to deliver and participate in regional conferences on HIES method and poverty assessment method</w:t>
      </w:r>
    </w:p>
    <w:p w14:paraId="7C7A3A7E" w14:textId="52B34C53" w:rsidR="00856002" w:rsidRDefault="00856002" w:rsidP="00856002">
      <w:pPr>
        <w:pStyle w:val="ListParagraph"/>
        <w:numPr>
          <w:ilvl w:val="0"/>
          <w:numId w:val="35"/>
        </w:numPr>
      </w:pPr>
      <w:r>
        <w:t>Finance Officer</w:t>
      </w:r>
    </w:p>
    <w:p w14:paraId="3DFD3C9C" w14:textId="6E31E180" w:rsidR="00856002" w:rsidRDefault="00856002" w:rsidP="00856002">
      <w:pPr>
        <w:pStyle w:val="ListParagraph"/>
        <w:numPr>
          <w:ilvl w:val="1"/>
          <w:numId w:val="35"/>
        </w:numPr>
      </w:pPr>
      <w:r>
        <w:t>June/July: travel to Beneficiary Country for Innovative Experiment 1 to organise sub-grant, financial management and procurement matters</w:t>
      </w:r>
    </w:p>
    <w:p w14:paraId="03A864DB" w14:textId="31D2C78F" w:rsidR="00856002" w:rsidRDefault="00856002" w:rsidP="00856002">
      <w:pPr>
        <w:pStyle w:val="ListParagraph"/>
        <w:numPr>
          <w:ilvl w:val="1"/>
          <w:numId w:val="35"/>
        </w:numPr>
      </w:pPr>
      <w:r>
        <w:t>June/July: travel to Beneficiary Country for Innovative Experiment 2 to organise sub-grant, financial management and procurement matters</w:t>
      </w:r>
    </w:p>
    <w:p w14:paraId="3CE042F2" w14:textId="1CD06DC6" w:rsidR="00856002" w:rsidRDefault="00856002" w:rsidP="00856002">
      <w:pPr>
        <w:pStyle w:val="ListParagraph"/>
        <w:numPr>
          <w:ilvl w:val="1"/>
          <w:numId w:val="35"/>
        </w:numPr>
      </w:pPr>
      <w:r>
        <w:t>October/November: travel to Fiji to administer regional conferences</w:t>
      </w:r>
    </w:p>
    <w:p w14:paraId="03100BE4" w14:textId="211E557D" w:rsidR="00856002" w:rsidRDefault="00856002" w:rsidP="00856002">
      <w:pPr>
        <w:pStyle w:val="ListParagraph"/>
        <w:numPr>
          <w:ilvl w:val="0"/>
          <w:numId w:val="35"/>
        </w:numPr>
      </w:pPr>
      <w:r>
        <w:t>4 x SDD staff</w:t>
      </w:r>
    </w:p>
    <w:p w14:paraId="46C7A487" w14:textId="06297F75" w:rsidR="00856002" w:rsidRPr="00AC2234" w:rsidRDefault="00856002" w:rsidP="00856002">
      <w:pPr>
        <w:pStyle w:val="ListParagraph"/>
        <w:numPr>
          <w:ilvl w:val="1"/>
          <w:numId w:val="35"/>
        </w:numPr>
      </w:pPr>
      <w:r w:rsidRPr="00856002">
        <w:t xml:space="preserve">October/November: travel to Fiji to deliver and participate in regional conferences on HIES method and poverty assessment method </w:t>
      </w:r>
      <w:r>
        <w:t>support</w:t>
      </w:r>
    </w:p>
    <w:p w14:paraId="1DBCE1BF" w14:textId="77777777" w:rsidR="00916B32" w:rsidRDefault="00916B32" w:rsidP="00916B32">
      <w:pPr>
        <w:pStyle w:val="Heading1"/>
      </w:pPr>
      <w:bookmarkStart w:id="14" w:name="_Toc88030667"/>
      <w:r>
        <w:lastRenderedPageBreak/>
        <w:t>Workshops and conferences</w:t>
      </w:r>
      <w:bookmarkEnd w:id="14"/>
    </w:p>
    <w:p w14:paraId="722D17CD" w14:textId="77777777" w:rsidR="008018D4" w:rsidRDefault="008018D4" w:rsidP="008018D4">
      <w:pPr>
        <w:pStyle w:val="Heading2"/>
      </w:pPr>
      <w:bookmarkStart w:id="15" w:name="_Toc88030668"/>
      <w:r>
        <w:t>Regional conference</w:t>
      </w:r>
      <w:bookmarkEnd w:id="15"/>
    </w:p>
    <w:p w14:paraId="46F71540" w14:textId="332812BF" w:rsidR="008018D4" w:rsidRDefault="00104333" w:rsidP="008018D4">
      <w:r>
        <w:t xml:space="preserve">Two regional conferences are to be delivered in 2022 and they are tentatively scheduled for October/November 2022 and to be held in Fiji for 4-days each.  </w:t>
      </w:r>
    </w:p>
    <w:p w14:paraId="54EF1F2A" w14:textId="6093E3AC" w:rsidR="00B31012" w:rsidRDefault="00B31012" w:rsidP="00B31012">
      <w:pPr>
        <w:pStyle w:val="Heading3"/>
      </w:pPr>
      <w:bookmarkStart w:id="16" w:name="_Toc88030669"/>
      <w:r>
        <w:t>Regional Conference 1: Pacific HIES Method</w:t>
      </w:r>
      <w:bookmarkEnd w:id="16"/>
    </w:p>
    <w:p w14:paraId="748B6745" w14:textId="58AA0E70" w:rsidR="00B31012" w:rsidRDefault="00B31012" w:rsidP="000963A7">
      <w:pPr>
        <w:ind w:left="1440" w:hanging="1440"/>
      </w:pPr>
      <w:r w:rsidRPr="00865B2F">
        <w:rPr>
          <w:b/>
        </w:rPr>
        <w:t>Invitees</w:t>
      </w:r>
      <w:r>
        <w:tab/>
        <w:t xml:space="preserve">HIES methodologists from the National Statistics Offices of Pacific IDA eligible member countries (Fiji, Kiribati, Marshall Islands, </w:t>
      </w:r>
      <w:r w:rsidRPr="00DD4E8C">
        <w:t>Micronesia (FS)</w:t>
      </w:r>
      <w:r>
        <w:t xml:space="preserve">, Papua New Guinea, Samoa, Solomon Islands, Tonga, Tuvalu, Vanuatu) and 5 x </w:t>
      </w:r>
      <w:r w:rsidR="000963A7">
        <w:t>SDD Staff (Project Manager, Statistics Advisor, Statistics Officer, Data Processing Specialist, Data Processing Officer)</w:t>
      </w:r>
    </w:p>
    <w:p w14:paraId="2305BA2E" w14:textId="36D37C4D" w:rsidR="00B31012" w:rsidRDefault="00B31012" w:rsidP="00B31012">
      <w:r w:rsidRPr="00865B2F">
        <w:rPr>
          <w:b/>
        </w:rPr>
        <w:t>Timing</w:t>
      </w:r>
      <w:r>
        <w:tab/>
      </w:r>
      <w:r>
        <w:tab/>
        <w:t>4</w:t>
      </w:r>
      <w:r w:rsidR="000963A7">
        <w:rPr>
          <w:vertAlign w:val="superscript"/>
        </w:rPr>
        <w:t>th</w:t>
      </w:r>
      <w:r>
        <w:t xml:space="preserve"> quarter 202</w:t>
      </w:r>
      <w:r w:rsidR="000963A7">
        <w:t>2</w:t>
      </w:r>
    </w:p>
    <w:p w14:paraId="2DC430C8" w14:textId="27FD9502" w:rsidR="00B31012" w:rsidRDefault="00B31012" w:rsidP="00B31012">
      <w:pPr>
        <w:ind w:left="1440" w:hanging="1440"/>
      </w:pPr>
      <w:r w:rsidRPr="00865B2F">
        <w:rPr>
          <w:b/>
        </w:rPr>
        <w:t>Topics</w:t>
      </w:r>
      <w:r>
        <w:tab/>
      </w:r>
      <w:r w:rsidR="00EE199F">
        <w:t>Results of the RMI HIES Experiment; CAPI; Recall; FAFH; Market Survey; labour modules; assets; s</w:t>
      </w:r>
      <w:r>
        <w:t>ampling; survey planning and management; survey resourcing needs and budget; questionnaire design; enumerator training.</w:t>
      </w:r>
    </w:p>
    <w:p w14:paraId="5A9039BA" w14:textId="22CCBE23" w:rsidR="00B31012" w:rsidRPr="008915FE" w:rsidRDefault="00B31012" w:rsidP="00B31012">
      <w:pPr>
        <w:ind w:left="1440" w:hanging="1440"/>
        <w:rPr>
          <w:b/>
        </w:rPr>
      </w:pPr>
      <w:r>
        <w:rPr>
          <w:b/>
        </w:rPr>
        <w:t>Outputs</w:t>
      </w:r>
      <w:r>
        <w:rPr>
          <w:b/>
        </w:rPr>
        <w:tab/>
      </w:r>
      <w:r w:rsidR="00EE199F">
        <w:t>Pacific HIES methodologies and SDD are trained in best practice for the collection of data required for measurement of welfare.</w:t>
      </w:r>
    </w:p>
    <w:p w14:paraId="72C9D6E3" w14:textId="13A32458" w:rsidR="0069175C" w:rsidRDefault="0069175C" w:rsidP="0069175C">
      <w:pPr>
        <w:pStyle w:val="Heading3"/>
      </w:pPr>
      <w:bookmarkStart w:id="17" w:name="_Toc88030670"/>
      <w:r>
        <w:t>Regional Conference 2: Pacific Poverty Method</w:t>
      </w:r>
      <w:bookmarkEnd w:id="17"/>
    </w:p>
    <w:p w14:paraId="4445BB19" w14:textId="2394A4B4" w:rsidR="0069175C" w:rsidRDefault="0069175C" w:rsidP="0069175C">
      <w:pPr>
        <w:ind w:left="1440" w:hanging="1440"/>
      </w:pPr>
      <w:r w:rsidRPr="00865B2F">
        <w:rPr>
          <w:b/>
        </w:rPr>
        <w:t>Invitees</w:t>
      </w:r>
      <w:r>
        <w:tab/>
        <w:t xml:space="preserve">Poverty Analysts from the National Statistics Offices of Pacific IDA eligible member countries (Fiji, Kiribati, Marshall Islands, </w:t>
      </w:r>
      <w:r w:rsidRPr="00DD4E8C">
        <w:t>Micronesia (FS)</w:t>
      </w:r>
      <w:r>
        <w:t>, Papua New Guinea, Samoa, Solomon Islands, Tonga, Tuvalu, Vanuatu) and 5 x SDD Staff (Project Manager, Statistics Advisor, Statistics Officer, Data Processing Specialist, Data Processing Officer)</w:t>
      </w:r>
    </w:p>
    <w:p w14:paraId="42279901" w14:textId="77777777" w:rsidR="0069175C" w:rsidRDefault="0069175C" w:rsidP="0069175C">
      <w:r w:rsidRPr="00865B2F">
        <w:rPr>
          <w:b/>
        </w:rPr>
        <w:t>Timing</w:t>
      </w:r>
      <w:r>
        <w:tab/>
      </w:r>
      <w:r>
        <w:tab/>
        <w:t>4</w:t>
      </w:r>
      <w:r>
        <w:rPr>
          <w:vertAlign w:val="superscript"/>
        </w:rPr>
        <w:t>th</w:t>
      </w:r>
      <w:r>
        <w:t xml:space="preserve"> quarter 2022</w:t>
      </w:r>
    </w:p>
    <w:p w14:paraId="04259CED" w14:textId="3AF7C07F" w:rsidR="0069175C" w:rsidRDefault="0069175C" w:rsidP="0069175C">
      <w:pPr>
        <w:ind w:left="1440" w:hanging="1440"/>
      </w:pPr>
      <w:r w:rsidRPr="00865B2F">
        <w:rPr>
          <w:b/>
        </w:rPr>
        <w:t>Topics</w:t>
      </w:r>
      <w:r>
        <w:tab/>
      </w:r>
      <w:r w:rsidR="00181D88">
        <w:t xml:space="preserve">Poverty theory; monetary and multidimensional poverty; SDGs; consumption aggregate (food and non-food consumption); use-value of assets; imputed rents; per capita and adult equivalencies; partakers; deflators; poverty lines; reference population; MDER and food poverty line; FAFH; non-food component in the poverty line; Engel curve; </w:t>
      </w:r>
      <w:r w:rsidR="006B10B6">
        <w:t>non-parametric approaches; headcount, poverty gap, squared poverty gap</w:t>
      </w:r>
      <w:r>
        <w:t>.</w:t>
      </w:r>
    </w:p>
    <w:p w14:paraId="3201D03E" w14:textId="53289F28" w:rsidR="0069175C" w:rsidRPr="008915FE" w:rsidRDefault="0069175C" w:rsidP="0069175C">
      <w:pPr>
        <w:ind w:left="1440" w:hanging="1440"/>
        <w:rPr>
          <w:b/>
        </w:rPr>
      </w:pPr>
      <w:r>
        <w:rPr>
          <w:b/>
        </w:rPr>
        <w:t>Outputs</w:t>
      </w:r>
      <w:r>
        <w:rPr>
          <w:b/>
        </w:rPr>
        <w:tab/>
      </w:r>
      <w:r>
        <w:t xml:space="preserve">Pacific </w:t>
      </w:r>
      <w:r w:rsidR="00D159BF">
        <w:t>Poverty Analysts</w:t>
      </w:r>
      <w:r>
        <w:t xml:space="preserve"> and SDD are trained in </w:t>
      </w:r>
      <w:r w:rsidR="00D159BF">
        <w:t xml:space="preserve">method for </w:t>
      </w:r>
      <w:r>
        <w:t>measurement of welfare.</w:t>
      </w:r>
    </w:p>
    <w:p w14:paraId="4D697FC7" w14:textId="77777777" w:rsidR="00884C47" w:rsidRDefault="00884C47" w:rsidP="003165E6">
      <w:pPr>
        <w:pStyle w:val="Heading2"/>
      </w:pPr>
    </w:p>
    <w:p w14:paraId="0FF702CF" w14:textId="1084B03B" w:rsidR="003165E6" w:rsidRPr="008018D4" w:rsidRDefault="003165E6" w:rsidP="003165E6">
      <w:pPr>
        <w:pStyle w:val="Heading2"/>
      </w:pPr>
      <w:bookmarkStart w:id="18" w:name="_Toc88030671"/>
      <w:r>
        <w:t>National (and sub-regional) workshops</w:t>
      </w:r>
      <w:bookmarkEnd w:id="18"/>
    </w:p>
    <w:p w14:paraId="1233686A" w14:textId="4212240B" w:rsidR="00916B32" w:rsidRDefault="008018D4" w:rsidP="00916B32">
      <w:r>
        <w:t>Indicative d</w:t>
      </w:r>
      <w:r w:rsidR="00771049">
        <w:t>etails for</w:t>
      </w:r>
      <w:r>
        <w:t xml:space="preserve"> workshops planned in 202</w:t>
      </w:r>
      <w:r w:rsidR="005222B0">
        <w:t>2</w:t>
      </w:r>
      <w:r w:rsidR="00771049">
        <w:t xml:space="preserve"> are presented below.</w:t>
      </w:r>
      <w:r w:rsidR="008915FE">
        <w:t xml:space="preserve">  In line with the PAD, the workshops are intended to be practical and output oriented.</w:t>
      </w:r>
    </w:p>
    <w:p w14:paraId="59395A3C" w14:textId="77777777" w:rsidR="00865B2F" w:rsidRDefault="008018D4" w:rsidP="00771049">
      <w:pPr>
        <w:pStyle w:val="Heading3"/>
      </w:pPr>
      <w:bookmarkStart w:id="19" w:name="_Toc88030672"/>
      <w:r>
        <w:t>Sampling and survey planning (incl. CAPI)</w:t>
      </w:r>
      <w:bookmarkEnd w:id="19"/>
    </w:p>
    <w:p w14:paraId="0847A4B0" w14:textId="68BD6EED" w:rsidR="008018D4" w:rsidRDefault="00865B2F" w:rsidP="00865B2F">
      <w:r w:rsidRPr="00865B2F">
        <w:rPr>
          <w:b/>
        </w:rPr>
        <w:t>Invitees</w:t>
      </w:r>
      <w:r>
        <w:tab/>
      </w:r>
      <w:r w:rsidR="008018D4" w:rsidRPr="00DD4E8C">
        <w:t>Micronesia (FS) Nauru, Palau, PNG, Tuvalu, CNMI</w:t>
      </w:r>
      <w:r w:rsidR="00E23059">
        <w:t xml:space="preserve">, </w:t>
      </w:r>
      <w:r w:rsidR="008018D4" w:rsidRPr="00DD4E8C">
        <w:t>Kiribati, Samoa, Vanuatu</w:t>
      </w:r>
      <w:r w:rsidR="00DA3B37">
        <w:t>, Solomon Islands</w:t>
      </w:r>
    </w:p>
    <w:p w14:paraId="3F85B533" w14:textId="27EDE8DC" w:rsidR="00771049" w:rsidRDefault="00865B2F" w:rsidP="00771049">
      <w:r w:rsidRPr="00865B2F">
        <w:rPr>
          <w:b/>
        </w:rPr>
        <w:t>Timing</w:t>
      </w:r>
      <w:r>
        <w:tab/>
      </w:r>
      <w:r>
        <w:tab/>
      </w:r>
      <w:r w:rsidR="00DA3B37">
        <w:t>2</w:t>
      </w:r>
      <w:r w:rsidR="00DA3B37" w:rsidRPr="00DA3B37">
        <w:rPr>
          <w:vertAlign w:val="superscript"/>
        </w:rPr>
        <w:t>nd</w:t>
      </w:r>
      <w:r w:rsidR="00DA3B37">
        <w:t xml:space="preserve"> </w:t>
      </w:r>
      <w:r>
        <w:t>quarter 202</w:t>
      </w:r>
      <w:r w:rsidR="00DA3B37">
        <w:t>2</w:t>
      </w:r>
    </w:p>
    <w:p w14:paraId="07854763" w14:textId="4CB32212" w:rsidR="00865B2F" w:rsidRDefault="00865B2F" w:rsidP="00865B2F">
      <w:pPr>
        <w:ind w:left="1440" w:hanging="1440"/>
      </w:pPr>
      <w:r w:rsidRPr="00865B2F">
        <w:rPr>
          <w:b/>
        </w:rPr>
        <w:t>Topics</w:t>
      </w:r>
      <w:r>
        <w:tab/>
        <w:t>Sampling; survey planning and man</w:t>
      </w:r>
      <w:r w:rsidR="00A635C2">
        <w:t>agement</w:t>
      </w:r>
      <w:r>
        <w:t>; survey resourcing needs and budget; CAPI system management, lessons learned, and dashboards; questionnaire design</w:t>
      </w:r>
      <w:r w:rsidR="00DA3B37">
        <w:t xml:space="preserve"> </w:t>
      </w:r>
      <w:r>
        <w:t>and manual; enumerator training.</w:t>
      </w:r>
    </w:p>
    <w:p w14:paraId="1F105CFC" w14:textId="77777777" w:rsidR="008915FE" w:rsidRPr="008915FE" w:rsidRDefault="008915FE" w:rsidP="00865B2F">
      <w:pPr>
        <w:ind w:left="1440" w:hanging="1440"/>
        <w:rPr>
          <w:b/>
        </w:rPr>
      </w:pPr>
      <w:r>
        <w:rPr>
          <w:b/>
        </w:rPr>
        <w:t>Outputs</w:t>
      </w:r>
      <w:r>
        <w:rPr>
          <w:b/>
        </w:rPr>
        <w:tab/>
      </w:r>
      <w:r w:rsidRPr="008915FE">
        <w:t xml:space="preserve">Sampling plan; </w:t>
      </w:r>
      <w:r>
        <w:t xml:space="preserve">survey plan and budget; </w:t>
      </w:r>
      <w:r w:rsidR="00A635C2">
        <w:t>survey questionnaire; survey reference resources (field manual, questionnaire manual, training presentations and resources)</w:t>
      </w:r>
      <w:r w:rsidR="00C0341F">
        <w:t>; strengthened capacity of NSO and SPC</w:t>
      </w:r>
      <w:r w:rsidR="00A635C2">
        <w:t>.</w:t>
      </w:r>
    </w:p>
    <w:p w14:paraId="2A9460F2" w14:textId="3D8EA7CA" w:rsidR="00530138" w:rsidRDefault="00530138" w:rsidP="00530138">
      <w:pPr>
        <w:pStyle w:val="Heading3"/>
      </w:pPr>
      <w:bookmarkStart w:id="20" w:name="_Toc88030673"/>
      <w:r>
        <w:lastRenderedPageBreak/>
        <w:t>HIES data processing (incl. Stata)</w:t>
      </w:r>
      <w:bookmarkEnd w:id="20"/>
    </w:p>
    <w:p w14:paraId="1957F1FE" w14:textId="1FF91AA1" w:rsidR="00530138" w:rsidRDefault="00530138" w:rsidP="00530138">
      <w:r w:rsidRPr="00865B2F">
        <w:rPr>
          <w:b/>
        </w:rPr>
        <w:t>Invitees</w:t>
      </w:r>
      <w:r>
        <w:tab/>
        <w:t>Tonga</w:t>
      </w:r>
    </w:p>
    <w:p w14:paraId="5DEB5B16" w14:textId="77777777" w:rsidR="00530138" w:rsidRDefault="00530138" w:rsidP="00530138">
      <w:r w:rsidRPr="00865B2F">
        <w:rPr>
          <w:b/>
        </w:rPr>
        <w:t>Timing</w:t>
      </w:r>
      <w:r>
        <w:tab/>
      </w:r>
      <w:r>
        <w:tab/>
        <w:t>2</w:t>
      </w:r>
      <w:r w:rsidRPr="00405D5D">
        <w:rPr>
          <w:vertAlign w:val="superscript"/>
        </w:rPr>
        <w:t>nd</w:t>
      </w:r>
      <w:r>
        <w:t xml:space="preserve"> quarter 2022</w:t>
      </w:r>
    </w:p>
    <w:p w14:paraId="29125594" w14:textId="1BE42D72" w:rsidR="00530138" w:rsidRDefault="00530138" w:rsidP="00530138">
      <w:pPr>
        <w:ind w:left="1440" w:hanging="1440"/>
      </w:pPr>
      <w:r w:rsidRPr="00865B2F">
        <w:rPr>
          <w:b/>
        </w:rPr>
        <w:t>Topics</w:t>
      </w:r>
      <w:r>
        <w:tab/>
        <w:t xml:space="preserve">CAPI dataset structure; coding and classifications; </w:t>
      </w:r>
      <w:r w:rsidR="005920F1">
        <w:t>reshaping, appending, merging datafiles; rosters; non-standard unit conversions (incl. market survey analysis); food data processing; imputed rents; use-value of assets; deflators; construct of the consumption aggregate</w:t>
      </w:r>
      <w:r>
        <w:t>.</w:t>
      </w:r>
    </w:p>
    <w:p w14:paraId="3F69C889" w14:textId="71BBC14C" w:rsidR="00530138" w:rsidRPr="00966988" w:rsidRDefault="00530138" w:rsidP="00530138">
      <w:pPr>
        <w:ind w:left="1440" w:hanging="1440"/>
      </w:pPr>
      <w:r>
        <w:rPr>
          <w:b/>
        </w:rPr>
        <w:t>Outputs</w:t>
      </w:r>
      <w:r>
        <w:rPr>
          <w:b/>
        </w:rPr>
        <w:tab/>
      </w:r>
      <w:r w:rsidR="00A41B31">
        <w:t>Significant progress in HIES data processing; strengthened capacity of NSO and SPC; HIES data processing with partners (i.e., FAO, ILO</w:t>
      </w:r>
      <w:r w:rsidR="00A43ACD">
        <w:t>, PFTAC</w:t>
      </w:r>
      <w:r w:rsidR="00A41B31">
        <w:t>) to produce consistent outputs</w:t>
      </w:r>
      <w:r w:rsidR="00A43ACD">
        <w:t xml:space="preserve"> using the same consumption aggregate</w:t>
      </w:r>
      <w:r>
        <w:t>.</w:t>
      </w:r>
    </w:p>
    <w:p w14:paraId="51CBF5FB" w14:textId="3D38B995" w:rsidR="00E3049E" w:rsidRDefault="008018D4" w:rsidP="00771049">
      <w:pPr>
        <w:pStyle w:val="Heading3"/>
      </w:pPr>
      <w:bookmarkStart w:id="21" w:name="_Toc88030674"/>
      <w:r>
        <w:t>Analysis, reporting and dissemination (incl. Stata)</w:t>
      </w:r>
      <w:bookmarkEnd w:id="21"/>
    </w:p>
    <w:p w14:paraId="18A86E23" w14:textId="58ECDFD5" w:rsidR="008018D4" w:rsidRDefault="00E3049E" w:rsidP="00E3049E">
      <w:r w:rsidRPr="00865B2F">
        <w:rPr>
          <w:b/>
        </w:rPr>
        <w:t>Invitees</w:t>
      </w:r>
      <w:r>
        <w:tab/>
      </w:r>
      <w:r w:rsidR="00E23059">
        <w:t>Vanuatu</w:t>
      </w:r>
      <w:r w:rsidR="008018D4" w:rsidRPr="00DD4E8C">
        <w:t xml:space="preserve">, Kiribati, Marshall Islands, </w:t>
      </w:r>
      <w:r w:rsidR="00E23059">
        <w:t xml:space="preserve">Tonga, </w:t>
      </w:r>
      <w:r w:rsidR="008018D4" w:rsidRPr="00DD4E8C">
        <w:t>New Caledonia</w:t>
      </w:r>
      <w:r w:rsidR="00A06E9B">
        <w:t>, Wallis &amp;</w:t>
      </w:r>
      <w:r w:rsidR="00734A38">
        <w:tab/>
      </w:r>
      <w:r w:rsidR="00A06E9B">
        <w:t xml:space="preserve"> Futuna</w:t>
      </w:r>
    </w:p>
    <w:p w14:paraId="1095E0ED" w14:textId="3922D6B3" w:rsidR="00E3049E" w:rsidRDefault="00E3049E" w:rsidP="00E3049E">
      <w:r w:rsidRPr="00865B2F">
        <w:rPr>
          <w:b/>
        </w:rPr>
        <w:t>Timing</w:t>
      </w:r>
      <w:r>
        <w:tab/>
      </w:r>
      <w:r>
        <w:tab/>
      </w:r>
      <w:r w:rsidR="00405D5D">
        <w:t>2</w:t>
      </w:r>
      <w:r w:rsidR="00405D5D" w:rsidRPr="00405D5D">
        <w:rPr>
          <w:vertAlign w:val="superscript"/>
        </w:rPr>
        <w:t>nd</w:t>
      </w:r>
      <w:r w:rsidR="00405D5D">
        <w:t xml:space="preserve"> </w:t>
      </w:r>
      <w:r>
        <w:t>quarter 202</w:t>
      </w:r>
      <w:r w:rsidR="00405D5D">
        <w:t>2</w:t>
      </w:r>
    </w:p>
    <w:p w14:paraId="60E29E04" w14:textId="6A8D5934" w:rsidR="00E3049E" w:rsidRDefault="00E3049E" w:rsidP="00E3049E">
      <w:pPr>
        <w:ind w:left="1440" w:hanging="1440"/>
      </w:pPr>
      <w:r w:rsidRPr="00865B2F">
        <w:rPr>
          <w:b/>
        </w:rPr>
        <w:t>Topics</w:t>
      </w:r>
      <w:r>
        <w:tab/>
      </w:r>
      <w:r w:rsidR="008454EB">
        <w:t xml:space="preserve">HIES dataset structure; tabulation syntax; </w:t>
      </w:r>
      <w:r w:rsidR="00405D5D">
        <w:t>produce</w:t>
      </w:r>
      <w:r w:rsidR="008454EB">
        <w:t xml:space="preserve"> and interpret tables and figures</w:t>
      </w:r>
      <w:r w:rsidR="003A668E">
        <w:t xml:space="preserve">; </w:t>
      </w:r>
      <w:r w:rsidR="00405D5D">
        <w:t>produce</w:t>
      </w:r>
      <w:r w:rsidR="003A668E">
        <w:t xml:space="preserve"> and interpret sampling errors; </w:t>
      </w:r>
      <w:r w:rsidR="00405D5D">
        <w:t>conduct thematic analysis and produce an analytical product</w:t>
      </w:r>
      <w:r w:rsidR="003A668E">
        <w:t xml:space="preserve">; </w:t>
      </w:r>
      <w:r w:rsidR="00405D5D">
        <w:t xml:space="preserve">microdata </w:t>
      </w:r>
      <w:r w:rsidR="003A668E">
        <w:t>dissemination (metadata, anonymization, microdata dissemination plan and procedure).</w:t>
      </w:r>
    </w:p>
    <w:p w14:paraId="70D4E8F3" w14:textId="18A3A490" w:rsidR="008730C9" w:rsidRPr="00966988" w:rsidRDefault="008915FE" w:rsidP="00966988">
      <w:pPr>
        <w:ind w:left="1440" w:hanging="1440"/>
      </w:pPr>
      <w:r>
        <w:rPr>
          <w:b/>
        </w:rPr>
        <w:t>Outputs</w:t>
      </w:r>
      <w:r w:rsidR="008454EB">
        <w:rPr>
          <w:b/>
        </w:rPr>
        <w:tab/>
      </w:r>
      <w:r w:rsidR="00405D5D">
        <w:t>thematic analysis</w:t>
      </w:r>
      <w:r w:rsidR="00734A38">
        <w:t>, analytical papers and briefs</w:t>
      </w:r>
      <w:r w:rsidR="003A668E">
        <w:t xml:space="preserve">; </w:t>
      </w:r>
      <w:r w:rsidR="008730C9">
        <w:t xml:space="preserve">survey </w:t>
      </w:r>
      <w:r w:rsidR="003A668E">
        <w:t>dissemination plan</w:t>
      </w:r>
      <w:r w:rsidR="008454EB">
        <w:t>; strengthened capacity of NSO and SPC</w:t>
      </w:r>
      <w:r w:rsidR="008730C9">
        <w:t xml:space="preserve"> </w:t>
      </w:r>
      <w:proofErr w:type="gramStart"/>
      <w:r w:rsidR="008730C9">
        <w:t>in:</w:t>
      </w:r>
      <w:proofErr w:type="gramEnd"/>
      <w:r w:rsidR="008730C9">
        <w:t xml:space="preserve"> a) using the HIES dataset; b) tabulating in Stata and exporting to Excel; c) </w:t>
      </w:r>
      <w:r w:rsidR="00AD26C4">
        <w:t xml:space="preserve">generating figures in Stata; d) interpretation of data and sampling errors; </w:t>
      </w:r>
      <w:r w:rsidR="001F73D3">
        <w:t xml:space="preserve">e) </w:t>
      </w:r>
      <w:r w:rsidR="00405D5D">
        <w:t>analysis and</w:t>
      </w:r>
      <w:r w:rsidR="001F73D3">
        <w:t xml:space="preserve"> report writing; and f) </w:t>
      </w:r>
      <w:r w:rsidR="0038052F">
        <w:t>microdata</w:t>
      </w:r>
      <w:r w:rsidR="001F73D3">
        <w:t xml:space="preserve"> dissemination.</w:t>
      </w:r>
    </w:p>
    <w:p w14:paraId="3E1BF5B5" w14:textId="77777777" w:rsidR="00884C47" w:rsidRDefault="00884C47">
      <w:pPr>
        <w:rPr>
          <w:rFonts w:asciiTheme="majorHAnsi" w:eastAsiaTheme="majorEastAsia" w:hAnsiTheme="majorHAnsi" w:cstheme="majorBidi"/>
          <w:color w:val="2E74B5" w:themeColor="accent1" w:themeShade="BF"/>
          <w:sz w:val="32"/>
          <w:szCs w:val="32"/>
        </w:rPr>
      </w:pPr>
      <w:r>
        <w:br w:type="page"/>
      </w:r>
    </w:p>
    <w:p w14:paraId="32F9A8E4" w14:textId="6357E5E9" w:rsidR="003E229B" w:rsidRDefault="003E229B" w:rsidP="003E229B">
      <w:pPr>
        <w:pStyle w:val="Heading1"/>
      </w:pPr>
      <w:bookmarkStart w:id="22" w:name="_Toc88030675"/>
      <w:r>
        <w:lastRenderedPageBreak/>
        <w:t>Performance targets</w:t>
      </w:r>
      <w:bookmarkEnd w:id="22"/>
    </w:p>
    <w:p w14:paraId="2ED0FAFC" w14:textId="5B232B79" w:rsidR="003E229B" w:rsidRDefault="0022650B" w:rsidP="003E229B">
      <w:r>
        <w:t>The performance targets have been identified above</w:t>
      </w:r>
      <w:r w:rsidR="00734A38">
        <w:t xml:space="preserve"> and</w:t>
      </w:r>
      <w:r>
        <w:t xml:space="preserve"> they are consolidated below.</w:t>
      </w:r>
    </w:p>
    <w:p w14:paraId="22396C51" w14:textId="4AD88C44" w:rsidR="0022650B" w:rsidRPr="00D112F7" w:rsidRDefault="00734A38" w:rsidP="003E229B">
      <w:r w:rsidRPr="00734A38">
        <w:rPr>
          <w:noProof/>
        </w:rPr>
        <w:drawing>
          <wp:inline distT="0" distB="0" distL="0" distR="0" wp14:anchorId="03DBAD0A" wp14:editId="631443DC">
            <wp:extent cx="6404610" cy="5000625"/>
            <wp:effectExtent l="19050" t="19050" r="1524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4610" cy="5000625"/>
                    </a:xfrm>
                    <a:prstGeom prst="rect">
                      <a:avLst/>
                    </a:prstGeom>
                    <a:noFill/>
                    <a:ln>
                      <a:solidFill>
                        <a:schemeClr val="tx1"/>
                      </a:solidFill>
                    </a:ln>
                  </pic:spPr>
                </pic:pic>
              </a:graphicData>
            </a:graphic>
          </wp:inline>
        </w:drawing>
      </w:r>
    </w:p>
    <w:p w14:paraId="7CBF2315" w14:textId="77777777" w:rsidR="000E42CA" w:rsidRDefault="000E42CA" w:rsidP="000E42CA">
      <w:pPr>
        <w:pStyle w:val="Heading1"/>
      </w:pPr>
      <w:bookmarkStart w:id="23" w:name="_Toc88030676"/>
      <w:r>
        <w:t>Resources and staff required</w:t>
      </w:r>
      <w:bookmarkEnd w:id="23"/>
    </w:p>
    <w:p w14:paraId="4BB1E838" w14:textId="50375A03" w:rsidR="000E42CA" w:rsidRDefault="000E42CA" w:rsidP="000E42CA">
      <w:r>
        <w:t>The resources required to execute the 202</w:t>
      </w:r>
      <w:r w:rsidR="004B66B1">
        <w:t>2</w:t>
      </w:r>
      <w:r>
        <w:t xml:space="preserve"> AWP are as follows:</w:t>
      </w:r>
    </w:p>
    <w:p w14:paraId="03269579" w14:textId="77777777" w:rsidR="000E42CA" w:rsidRDefault="003A206E" w:rsidP="000E42CA">
      <w:pPr>
        <w:pStyle w:val="ListParagraph"/>
        <w:numPr>
          <w:ilvl w:val="0"/>
          <w:numId w:val="26"/>
        </w:numPr>
      </w:pPr>
      <w:r>
        <w:t xml:space="preserve">Long-Term Consultant: </w:t>
      </w:r>
      <w:r w:rsidR="000E42CA">
        <w:t>Statistics Advisor</w:t>
      </w:r>
    </w:p>
    <w:p w14:paraId="7A40F05C" w14:textId="7684F928" w:rsidR="000E42CA" w:rsidRDefault="003A206E" w:rsidP="000E42CA">
      <w:pPr>
        <w:pStyle w:val="ListParagraph"/>
        <w:numPr>
          <w:ilvl w:val="0"/>
          <w:numId w:val="26"/>
        </w:numPr>
      </w:pPr>
      <w:r>
        <w:t xml:space="preserve">Long-Term Consultant: </w:t>
      </w:r>
      <w:r w:rsidR="000E42CA">
        <w:t>Welfare Economist</w:t>
      </w:r>
    </w:p>
    <w:p w14:paraId="66576C17" w14:textId="0ECFD63D" w:rsidR="004B66B1" w:rsidRDefault="004B66B1" w:rsidP="000E42CA">
      <w:pPr>
        <w:pStyle w:val="ListParagraph"/>
        <w:numPr>
          <w:ilvl w:val="0"/>
          <w:numId w:val="26"/>
        </w:numPr>
      </w:pPr>
      <w:r>
        <w:t>Mid-Term Consultant: Harmonisation Advisor</w:t>
      </w:r>
    </w:p>
    <w:p w14:paraId="6C4F92E2" w14:textId="6E19F1A7" w:rsidR="00CC0C93" w:rsidRDefault="00CC0C93" w:rsidP="002316B0">
      <w:pPr>
        <w:pStyle w:val="ListParagraph"/>
        <w:numPr>
          <w:ilvl w:val="0"/>
          <w:numId w:val="26"/>
        </w:numPr>
      </w:pPr>
      <w:r>
        <w:t xml:space="preserve">Individual Consultant – PSMB Commissioned Work 2 (TBD): to be procured in </w:t>
      </w:r>
      <w:r w:rsidR="000E012E">
        <w:t>January</w:t>
      </w:r>
    </w:p>
    <w:p w14:paraId="059ADED9" w14:textId="62E92DF5" w:rsidR="000E012E" w:rsidRDefault="000E012E" w:rsidP="000E012E">
      <w:pPr>
        <w:pStyle w:val="ListParagraph"/>
        <w:numPr>
          <w:ilvl w:val="0"/>
          <w:numId w:val="26"/>
        </w:numPr>
      </w:pPr>
      <w:r>
        <w:t xml:space="preserve">Individual Consultant – PSMB Commissioned Work </w:t>
      </w:r>
      <w:r w:rsidR="008C50A0">
        <w:t>3</w:t>
      </w:r>
      <w:r>
        <w:t xml:space="preserve"> (TBD): to be procured in April</w:t>
      </w:r>
    </w:p>
    <w:p w14:paraId="2694EFD7" w14:textId="55C7BB9C" w:rsidR="006075A4" w:rsidRDefault="006075A4" w:rsidP="000E012E">
      <w:pPr>
        <w:pStyle w:val="ListParagraph"/>
        <w:numPr>
          <w:ilvl w:val="0"/>
          <w:numId w:val="26"/>
        </w:numPr>
      </w:pPr>
      <w:r>
        <w:t>Venue for regional conference</w:t>
      </w:r>
    </w:p>
    <w:p w14:paraId="44489411" w14:textId="5E12C3B0" w:rsidR="006075A4" w:rsidRDefault="006075A4" w:rsidP="000E012E">
      <w:pPr>
        <w:pStyle w:val="ListParagraph"/>
        <w:numPr>
          <w:ilvl w:val="0"/>
          <w:numId w:val="26"/>
        </w:numPr>
      </w:pPr>
      <w:r>
        <w:t>Virtual event manager to be procured in January</w:t>
      </w:r>
    </w:p>
    <w:p w14:paraId="10EA1D98" w14:textId="2496585E" w:rsidR="006075A4" w:rsidRDefault="006075A4" w:rsidP="000E012E">
      <w:pPr>
        <w:pStyle w:val="ListParagraph"/>
        <w:numPr>
          <w:ilvl w:val="0"/>
          <w:numId w:val="26"/>
        </w:numPr>
      </w:pPr>
      <w:r>
        <w:t>Editor, layout, publication to support production of PSMM Guidance Notes</w:t>
      </w:r>
    </w:p>
    <w:p w14:paraId="36C8CB37" w14:textId="0E83C092" w:rsidR="006075A4" w:rsidRDefault="006075A4" w:rsidP="000E012E">
      <w:pPr>
        <w:pStyle w:val="ListParagraph"/>
        <w:numPr>
          <w:ilvl w:val="0"/>
          <w:numId w:val="26"/>
        </w:numPr>
      </w:pPr>
      <w:r>
        <w:t>Producer to support production of YouTube videos</w:t>
      </w:r>
    </w:p>
    <w:p w14:paraId="04E54617" w14:textId="77777777" w:rsidR="006075A4" w:rsidRDefault="006075A4" w:rsidP="006075A4">
      <w:pPr>
        <w:pStyle w:val="ListParagraph"/>
        <w:numPr>
          <w:ilvl w:val="0"/>
          <w:numId w:val="26"/>
        </w:numPr>
      </w:pPr>
      <w:r>
        <w:t>Recurrent Technical Staff: refer above in Component 2.2.</w:t>
      </w:r>
    </w:p>
    <w:p w14:paraId="0515CB80" w14:textId="06B9B42F" w:rsidR="003A206E" w:rsidRDefault="006075A4" w:rsidP="006075A4">
      <w:pPr>
        <w:pStyle w:val="ListParagraph"/>
        <w:numPr>
          <w:ilvl w:val="0"/>
          <w:numId w:val="26"/>
        </w:numPr>
      </w:pPr>
      <w:r>
        <w:t>Corporate Support: refer above in Component 2.2.</w:t>
      </w:r>
    </w:p>
    <w:p w14:paraId="206857A8" w14:textId="77777777" w:rsidR="006075A4" w:rsidRDefault="00CF2EF8" w:rsidP="000E42CA">
      <w:pPr>
        <w:pStyle w:val="ListParagraph"/>
        <w:numPr>
          <w:ilvl w:val="0"/>
          <w:numId w:val="26"/>
        </w:numPr>
      </w:pPr>
      <w:r>
        <w:t>Implementation Support: project Consultants will be provided ICT support</w:t>
      </w:r>
      <w:r w:rsidR="006075A4">
        <w:t>,</w:t>
      </w:r>
      <w:r>
        <w:t xml:space="preserve"> Project consumables</w:t>
      </w:r>
    </w:p>
    <w:p w14:paraId="302CB0A3" w14:textId="2A4B7AAA" w:rsidR="003A206E" w:rsidRDefault="00CF2EF8" w:rsidP="000E42CA">
      <w:pPr>
        <w:pStyle w:val="ListParagraph"/>
        <w:numPr>
          <w:ilvl w:val="0"/>
          <w:numId w:val="26"/>
        </w:numPr>
      </w:pPr>
      <w:r>
        <w:t>IT Training Room and SDD Meeting Room goods</w:t>
      </w:r>
      <w:r w:rsidR="006075A4">
        <w:t xml:space="preserve"> and video equipment</w:t>
      </w:r>
      <w:r>
        <w:t xml:space="preserve"> will be procured.</w:t>
      </w:r>
    </w:p>
    <w:p w14:paraId="3D812D77" w14:textId="44C8D88D" w:rsidR="003528AF" w:rsidRDefault="003528AF" w:rsidP="000E42CA">
      <w:pPr>
        <w:pStyle w:val="ListParagraph"/>
        <w:numPr>
          <w:ilvl w:val="0"/>
          <w:numId w:val="26"/>
        </w:numPr>
      </w:pPr>
      <w:r>
        <w:t xml:space="preserve">Travel: </w:t>
      </w:r>
      <w:r w:rsidR="006075A4">
        <w:t>as per above.</w:t>
      </w:r>
      <w:r>
        <w:t xml:space="preserve"> </w:t>
      </w:r>
    </w:p>
    <w:p w14:paraId="1FB9F650" w14:textId="4B22879F" w:rsidR="000E42CA" w:rsidRPr="00D112F7" w:rsidRDefault="000E42CA" w:rsidP="000E42CA">
      <w:r>
        <w:t xml:space="preserve">The </w:t>
      </w:r>
      <w:r w:rsidR="00E23059">
        <w:t>Project b</w:t>
      </w:r>
      <w:r>
        <w:t xml:space="preserve">udget and </w:t>
      </w:r>
      <w:r w:rsidR="00E23059">
        <w:t>p</w:t>
      </w:r>
      <w:r>
        <w:t xml:space="preserve">rocurement </w:t>
      </w:r>
      <w:r w:rsidR="00E23059">
        <w:t>p</w:t>
      </w:r>
      <w:r>
        <w:t>lan have been updated to reflect the 202</w:t>
      </w:r>
      <w:r w:rsidR="006075A4">
        <w:t>2</w:t>
      </w:r>
      <w:r>
        <w:t xml:space="preserve"> resourcing requirements.</w:t>
      </w:r>
    </w:p>
    <w:p w14:paraId="5F1824EB" w14:textId="77777777" w:rsidR="003E229B" w:rsidRDefault="003E229B" w:rsidP="003E229B">
      <w:pPr>
        <w:pStyle w:val="Heading1"/>
      </w:pPr>
      <w:bookmarkStart w:id="24" w:name="_Toc88030677"/>
      <w:r>
        <w:lastRenderedPageBreak/>
        <w:t>Budget</w:t>
      </w:r>
      <w:bookmarkEnd w:id="24"/>
    </w:p>
    <w:p w14:paraId="3C4D33E6" w14:textId="7F0CDF87" w:rsidR="003E229B" w:rsidRDefault="00DE1486" w:rsidP="003E229B">
      <w:r>
        <w:t>The budget for implementation of the 202</w:t>
      </w:r>
      <w:r w:rsidR="005C1220">
        <w:t>2</w:t>
      </w:r>
      <w:r>
        <w:t xml:space="preserve"> Annual Work Plan is presented below.</w:t>
      </w:r>
      <w:r w:rsidR="00357723">
        <w:t xml:space="preserve">  SDD</w:t>
      </w:r>
      <w:r w:rsidR="008873F0">
        <w:t xml:space="preserve"> will process</w:t>
      </w:r>
      <w:r w:rsidR="00357723">
        <w:t xml:space="preserve"> Withdrawal Application </w:t>
      </w:r>
      <w:r w:rsidR="008873F0">
        <w:t xml:space="preserve">in the first half of 2022 </w:t>
      </w:r>
      <w:proofErr w:type="gramStart"/>
      <w:r w:rsidR="008873F0">
        <w:t>for the amount of</w:t>
      </w:r>
      <w:proofErr w:type="gramEnd"/>
      <w:r w:rsidR="008873F0">
        <w:t xml:space="preserve"> </w:t>
      </w:r>
      <w:r w:rsidR="00357723">
        <w:t xml:space="preserve">EUR </w:t>
      </w:r>
      <w:r w:rsidR="008873F0">
        <w:t>400</w:t>
      </w:r>
      <w:r w:rsidR="00357723">
        <w:t>,000</w:t>
      </w:r>
      <w:r w:rsidR="008873F0">
        <w:t xml:space="preserve"> and in the second half of 2022 for the amount of EUR 900,000</w:t>
      </w:r>
      <w:r w:rsidR="00357723">
        <w:t>.</w:t>
      </w:r>
    </w:p>
    <w:p w14:paraId="78CCC0F0" w14:textId="30EC1FCE" w:rsidR="001A6B40" w:rsidRPr="00D112F7" w:rsidRDefault="00FA49CB" w:rsidP="003E229B">
      <w:r w:rsidRPr="00FA49CB">
        <w:rPr>
          <w:noProof/>
        </w:rPr>
        <w:drawing>
          <wp:inline distT="0" distB="0" distL="0" distR="0" wp14:anchorId="22BC0E70" wp14:editId="326BEB90">
            <wp:extent cx="4143037" cy="82800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3037" cy="8280000"/>
                    </a:xfrm>
                    <a:prstGeom prst="rect">
                      <a:avLst/>
                    </a:prstGeom>
                    <a:noFill/>
                    <a:ln>
                      <a:noFill/>
                    </a:ln>
                  </pic:spPr>
                </pic:pic>
              </a:graphicData>
            </a:graphic>
          </wp:inline>
        </w:drawing>
      </w:r>
    </w:p>
    <w:p w14:paraId="02B08D7A" w14:textId="66635ABB" w:rsidR="00B9177B" w:rsidRDefault="00B9177B" w:rsidP="003E229B">
      <w:pPr>
        <w:pStyle w:val="Heading1"/>
      </w:pPr>
      <w:bookmarkStart w:id="25" w:name="_Toc88030678"/>
      <w:r>
        <w:lastRenderedPageBreak/>
        <w:t>Procurement plan</w:t>
      </w:r>
      <w:bookmarkEnd w:id="25"/>
    </w:p>
    <w:p w14:paraId="0C9CB73D" w14:textId="3D77C540" w:rsidR="003A2238" w:rsidRDefault="003A2238" w:rsidP="003A2238">
      <w:r>
        <w:t>Items for procurement in 2022 are listed in the below table.</w:t>
      </w:r>
    </w:p>
    <w:tbl>
      <w:tblPr>
        <w:tblW w:w="5000" w:type="pct"/>
        <w:tblLook w:val="04A0" w:firstRow="1" w:lastRow="0" w:firstColumn="1" w:lastColumn="0" w:noHBand="0" w:noVBand="1"/>
      </w:tblPr>
      <w:tblGrid>
        <w:gridCol w:w="5309"/>
        <w:gridCol w:w="1373"/>
        <w:gridCol w:w="1254"/>
        <w:gridCol w:w="1081"/>
        <w:gridCol w:w="1069"/>
      </w:tblGrid>
      <w:tr w:rsidR="003A2238" w:rsidRPr="003A2238" w14:paraId="73464FF9" w14:textId="77777777" w:rsidTr="003A2238">
        <w:trPr>
          <w:trHeight w:val="285"/>
        </w:trPr>
        <w:tc>
          <w:tcPr>
            <w:tcW w:w="2711" w:type="pct"/>
            <w:tcBorders>
              <w:top w:val="nil"/>
              <w:left w:val="nil"/>
              <w:bottom w:val="nil"/>
              <w:right w:val="nil"/>
            </w:tcBorders>
            <w:shd w:val="clear" w:color="auto" w:fill="auto"/>
            <w:noWrap/>
            <w:vAlign w:val="bottom"/>
            <w:hideMark/>
          </w:tcPr>
          <w:p w14:paraId="4C25AD6B" w14:textId="77777777" w:rsidR="003A2238" w:rsidRPr="003A2238" w:rsidRDefault="003A2238" w:rsidP="003A2238">
            <w:pPr>
              <w:spacing w:after="0" w:line="240" w:lineRule="auto"/>
              <w:rPr>
                <w:rFonts w:ascii="Calibri" w:eastAsia="Times New Roman" w:hAnsi="Calibri" w:cs="Calibri"/>
                <w:b/>
                <w:bCs/>
                <w:color w:val="000000"/>
                <w:sz w:val="20"/>
                <w:szCs w:val="20"/>
                <w:lang w:eastAsia="en-AU"/>
              </w:rPr>
            </w:pPr>
            <w:r w:rsidRPr="003A2238">
              <w:rPr>
                <w:rFonts w:ascii="Calibri" w:eastAsia="Times New Roman" w:hAnsi="Calibri" w:cs="Calibri"/>
                <w:b/>
                <w:bCs/>
                <w:color w:val="000000"/>
                <w:sz w:val="20"/>
                <w:szCs w:val="20"/>
                <w:lang w:eastAsia="en-AU"/>
              </w:rPr>
              <w:t>2022 procurement plan</w:t>
            </w:r>
          </w:p>
        </w:tc>
        <w:tc>
          <w:tcPr>
            <w:tcW w:w="673" w:type="pct"/>
            <w:tcBorders>
              <w:top w:val="nil"/>
              <w:left w:val="nil"/>
              <w:bottom w:val="nil"/>
              <w:right w:val="nil"/>
            </w:tcBorders>
            <w:shd w:val="clear" w:color="auto" w:fill="auto"/>
            <w:noWrap/>
            <w:vAlign w:val="bottom"/>
            <w:hideMark/>
          </w:tcPr>
          <w:p w14:paraId="5C7AD196" w14:textId="77777777" w:rsidR="003A2238" w:rsidRPr="003A2238" w:rsidRDefault="003A2238" w:rsidP="003A2238">
            <w:pPr>
              <w:spacing w:after="0" w:line="240" w:lineRule="auto"/>
              <w:rPr>
                <w:rFonts w:ascii="Calibri" w:eastAsia="Times New Roman" w:hAnsi="Calibri" w:cs="Calibri"/>
                <w:b/>
                <w:bCs/>
                <w:color w:val="000000"/>
                <w:sz w:val="20"/>
                <w:szCs w:val="20"/>
                <w:lang w:eastAsia="en-AU"/>
              </w:rPr>
            </w:pPr>
            <w:r w:rsidRPr="003A2238">
              <w:rPr>
                <w:rFonts w:ascii="Calibri" w:eastAsia="Times New Roman" w:hAnsi="Calibri" w:cs="Calibri"/>
                <w:b/>
                <w:bCs/>
                <w:color w:val="000000"/>
                <w:sz w:val="20"/>
                <w:szCs w:val="20"/>
                <w:lang w:eastAsia="en-AU"/>
              </w:rPr>
              <w:t>Issue contract</w:t>
            </w:r>
          </w:p>
        </w:tc>
        <w:tc>
          <w:tcPr>
            <w:tcW w:w="592" w:type="pct"/>
            <w:tcBorders>
              <w:top w:val="nil"/>
              <w:left w:val="nil"/>
              <w:bottom w:val="nil"/>
              <w:right w:val="nil"/>
            </w:tcBorders>
            <w:shd w:val="clear" w:color="auto" w:fill="auto"/>
            <w:noWrap/>
            <w:vAlign w:val="bottom"/>
            <w:hideMark/>
          </w:tcPr>
          <w:p w14:paraId="6EC76106" w14:textId="77777777" w:rsidR="003A2238" w:rsidRPr="003A2238" w:rsidRDefault="003A2238" w:rsidP="003A2238">
            <w:pPr>
              <w:spacing w:after="0" w:line="240" w:lineRule="auto"/>
              <w:rPr>
                <w:rFonts w:ascii="Calibri" w:eastAsia="Times New Roman" w:hAnsi="Calibri" w:cs="Calibri"/>
                <w:b/>
                <w:bCs/>
                <w:color w:val="000000"/>
                <w:sz w:val="20"/>
                <w:szCs w:val="20"/>
                <w:lang w:eastAsia="en-AU"/>
              </w:rPr>
            </w:pPr>
            <w:r w:rsidRPr="003A2238">
              <w:rPr>
                <w:rFonts w:ascii="Calibri" w:eastAsia="Times New Roman" w:hAnsi="Calibri" w:cs="Calibri"/>
                <w:b/>
                <w:bCs/>
                <w:color w:val="000000"/>
                <w:sz w:val="20"/>
                <w:szCs w:val="20"/>
                <w:lang w:eastAsia="en-AU"/>
              </w:rPr>
              <w:t>Value (EUR)</w:t>
            </w:r>
          </w:p>
        </w:tc>
        <w:tc>
          <w:tcPr>
            <w:tcW w:w="512" w:type="pct"/>
            <w:tcBorders>
              <w:top w:val="nil"/>
              <w:left w:val="nil"/>
              <w:bottom w:val="nil"/>
              <w:right w:val="nil"/>
            </w:tcBorders>
            <w:shd w:val="clear" w:color="auto" w:fill="auto"/>
            <w:noWrap/>
            <w:vAlign w:val="bottom"/>
            <w:hideMark/>
          </w:tcPr>
          <w:p w14:paraId="71E214D8" w14:textId="77777777" w:rsidR="003A2238" w:rsidRPr="003A2238" w:rsidRDefault="003A2238" w:rsidP="003A2238">
            <w:pPr>
              <w:spacing w:after="0" w:line="240" w:lineRule="auto"/>
              <w:rPr>
                <w:rFonts w:ascii="Calibri" w:eastAsia="Times New Roman" w:hAnsi="Calibri" w:cs="Calibri"/>
                <w:b/>
                <w:bCs/>
                <w:color w:val="000000"/>
                <w:sz w:val="20"/>
                <w:szCs w:val="20"/>
                <w:lang w:eastAsia="en-AU"/>
              </w:rPr>
            </w:pPr>
            <w:r w:rsidRPr="003A2238">
              <w:rPr>
                <w:rFonts w:ascii="Calibri" w:eastAsia="Times New Roman" w:hAnsi="Calibri" w:cs="Calibri"/>
                <w:b/>
                <w:bCs/>
                <w:color w:val="000000"/>
                <w:sz w:val="20"/>
                <w:szCs w:val="20"/>
                <w:lang w:eastAsia="en-AU"/>
              </w:rPr>
              <w:t>Start</w:t>
            </w:r>
          </w:p>
        </w:tc>
        <w:tc>
          <w:tcPr>
            <w:tcW w:w="512" w:type="pct"/>
            <w:tcBorders>
              <w:top w:val="nil"/>
              <w:left w:val="nil"/>
              <w:bottom w:val="nil"/>
              <w:right w:val="nil"/>
            </w:tcBorders>
            <w:shd w:val="clear" w:color="auto" w:fill="auto"/>
            <w:noWrap/>
            <w:vAlign w:val="bottom"/>
            <w:hideMark/>
          </w:tcPr>
          <w:p w14:paraId="09469171" w14:textId="77777777" w:rsidR="003A2238" w:rsidRPr="003A2238" w:rsidRDefault="003A2238" w:rsidP="003A2238">
            <w:pPr>
              <w:spacing w:after="0" w:line="240" w:lineRule="auto"/>
              <w:rPr>
                <w:rFonts w:ascii="Calibri" w:eastAsia="Times New Roman" w:hAnsi="Calibri" w:cs="Calibri"/>
                <w:b/>
                <w:bCs/>
                <w:color w:val="000000"/>
                <w:sz w:val="20"/>
                <w:szCs w:val="20"/>
                <w:lang w:eastAsia="en-AU"/>
              </w:rPr>
            </w:pPr>
            <w:r w:rsidRPr="003A2238">
              <w:rPr>
                <w:rFonts w:ascii="Calibri" w:eastAsia="Times New Roman" w:hAnsi="Calibri" w:cs="Calibri"/>
                <w:b/>
                <w:bCs/>
                <w:color w:val="000000"/>
                <w:sz w:val="20"/>
                <w:szCs w:val="20"/>
                <w:lang w:eastAsia="en-AU"/>
              </w:rPr>
              <w:t>Finish</w:t>
            </w:r>
          </w:p>
        </w:tc>
      </w:tr>
      <w:tr w:rsidR="003A2238" w:rsidRPr="003A2238" w14:paraId="59400D4C" w14:textId="77777777" w:rsidTr="003A2238">
        <w:trPr>
          <w:trHeight w:val="285"/>
        </w:trPr>
        <w:tc>
          <w:tcPr>
            <w:tcW w:w="2711" w:type="pct"/>
            <w:tcBorders>
              <w:top w:val="single" w:sz="4" w:space="0" w:color="auto"/>
              <w:left w:val="nil"/>
              <w:bottom w:val="nil"/>
              <w:right w:val="nil"/>
            </w:tcBorders>
            <w:shd w:val="clear" w:color="auto" w:fill="auto"/>
            <w:noWrap/>
            <w:vAlign w:val="bottom"/>
            <w:hideMark/>
          </w:tcPr>
          <w:p w14:paraId="6B76FEF0"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 x International Consultant (Harmonisation Advisor)</w:t>
            </w:r>
          </w:p>
        </w:tc>
        <w:tc>
          <w:tcPr>
            <w:tcW w:w="673" w:type="pct"/>
            <w:tcBorders>
              <w:top w:val="single" w:sz="4" w:space="0" w:color="auto"/>
              <w:left w:val="nil"/>
              <w:bottom w:val="nil"/>
              <w:right w:val="nil"/>
            </w:tcBorders>
            <w:shd w:val="clear" w:color="auto" w:fill="auto"/>
            <w:noWrap/>
            <w:vAlign w:val="bottom"/>
            <w:hideMark/>
          </w:tcPr>
          <w:p w14:paraId="4F1F2437"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1-Jul-22</w:t>
            </w:r>
          </w:p>
        </w:tc>
        <w:tc>
          <w:tcPr>
            <w:tcW w:w="592" w:type="pct"/>
            <w:tcBorders>
              <w:top w:val="single" w:sz="4" w:space="0" w:color="auto"/>
              <w:left w:val="nil"/>
              <w:bottom w:val="nil"/>
              <w:right w:val="nil"/>
            </w:tcBorders>
            <w:shd w:val="clear" w:color="auto" w:fill="auto"/>
            <w:noWrap/>
            <w:vAlign w:val="bottom"/>
            <w:hideMark/>
          </w:tcPr>
          <w:p w14:paraId="78BD2286"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472,019</w:t>
            </w:r>
          </w:p>
        </w:tc>
        <w:tc>
          <w:tcPr>
            <w:tcW w:w="512" w:type="pct"/>
            <w:tcBorders>
              <w:top w:val="single" w:sz="4" w:space="0" w:color="auto"/>
              <w:left w:val="nil"/>
              <w:bottom w:val="nil"/>
              <w:right w:val="nil"/>
            </w:tcBorders>
            <w:shd w:val="clear" w:color="auto" w:fill="auto"/>
            <w:noWrap/>
            <w:vAlign w:val="bottom"/>
            <w:hideMark/>
          </w:tcPr>
          <w:p w14:paraId="0AE27900"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1-Jul-22</w:t>
            </w:r>
          </w:p>
        </w:tc>
        <w:tc>
          <w:tcPr>
            <w:tcW w:w="512" w:type="pct"/>
            <w:tcBorders>
              <w:top w:val="single" w:sz="4" w:space="0" w:color="auto"/>
              <w:left w:val="nil"/>
              <w:bottom w:val="nil"/>
              <w:right w:val="nil"/>
            </w:tcBorders>
            <w:shd w:val="clear" w:color="auto" w:fill="auto"/>
            <w:noWrap/>
            <w:vAlign w:val="bottom"/>
            <w:hideMark/>
          </w:tcPr>
          <w:p w14:paraId="2D48B477"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30-Jun-25</w:t>
            </w:r>
          </w:p>
        </w:tc>
      </w:tr>
      <w:tr w:rsidR="003A2238" w:rsidRPr="003A2238" w14:paraId="2DAFB91D" w14:textId="77777777" w:rsidTr="003A2238">
        <w:trPr>
          <w:trHeight w:val="285"/>
        </w:trPr>
        <w:tc>
          <w:tcPr>
            <w:tcW w:w="2711" w:type="pct"/>
            <w:tcBorders>
              <w:top w:val="nil"/>
              <w:left w:val="nil"/>
              <w:bottom w:val="nil"/>
              <w:right w:val="nil"/>
            </w:tcBorders>
            <w:shd w:val="clear" w:color="auto" w:fill="auto"/>
            <w:noWrap/>
            <w:vAlign w:val="bottom"/>
            <w:hideMark/>
          </w:tcPr>
          <w:p w14:paraId="094B152C"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 x International Consultant (PSMB Commission Work 2)</w:t>
            </w:r>
          </w:p>
        </w:tc>
        <w:tc>
          <w:tcPr>
            <w:tcW w:w="673" w:type="pct"/>
            <w:tcBorders>
              <w:top w:val="nil"/>
              <w:left w:val="nil"/>
              <w:bottom w:val="nil"/>
              <w:right w:val="nil"/>
            </w:tcBorders>
            <w:shd w:val="clear" w:color="auto" w:fill="auto"/>
            <w:noWrap/>
            <w:vAlign w:val="bottom"/>
            <w:hideMark/>
          </w:tcPr>
          <w:p w14:paraId="2077F66E"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1-Jan-22</w:t>
            </w:r>
          </w:p>
        </w:tc>
        <w:tc>
          <w:tcPr>
            <w:tcW w:w="592" w:type="pct"/>
            <w:tcBorders>
              <w:top w:val="nil"/>
              <w:left w:val="nil"/>
              <w:bottom w:val="nil"/>
              <w:right w:val="nil"/>
            </w:tcBorders>
            <w:shd w:val="clear" w:color="auto" w:fill="auto"/>
            <w:noWrap/>
            <w:vAlign w:val="bottom"/>
            <w:hideMark/>
          </w:tcPr>
          <w:p w14:paraId="35358B57"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22,000</w:t>
            </w:r>
          </w:p>
        </w:tc>
        <w:tc>
          <w:tcPr>
            <w:tcW w:w="512" w:type="pct"/>
            <w:tcBorders>
              <w:top w:val="nil"/>
              <w:left w:val="nil"/>
              <w:bottom w:val="nil"/>
              <w:right w:val="nil"/>
            </w:tcBorders>
            <w:shd w:val="clear" w:color="auto" w:fill="auto"/>
            <w:noWrap/>
            <w:vAlign w:val="bottom"/>
            <w:hideMark/>
          </w:tcPr>
          <w:p w14:paraId="622F56FB"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1-Jan-22</w:t>
            </w:r>
          </w:p>
        </w:tc>
        <w:tc>
          <w:tcPr>
            <w:tcW w:w="512" w:type="pct"/>
            <w:tcBorders>
              <w:top w:val="nil"/>
              <w:left w:val="nil"/>
              <w:bottom w:val="nil"/>
              <w:right w:val="nil"/>
            </w:tcBorders>
            <w:shd w:val="clear" w:color="auto" w:fill="auto"/>
            <w:noWrap/>
            <w:vAlign w:val="bottom"/>
            <w:hideMark/>
          </w:tcPr>
          <w:p w14:paraId="4D28B4DF"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31-Oct-22</w:t>
            </w:r>
          </w:p>
        </w:tc>
      </w:tr>
      <w:tr w:rsidR="003A2238" w:rsidRPr="003A2238" w14:paraId="2104870E" w14:textId="77777777" w:rsidTr="003A2238">
        <w:trPr>
          <w:trHeight w:val="285"/>
        </w:trPr>
        <w:tc>
          <w:tcPr>
            <w:tcW w:w="2711" w:type="pct"/>
            <w:tcBorders>
              <w:top w:val="nil"/>
              <w:left w:val="nil"/>
              <w:bottom w:val="nil"/>
              <w:right w:val="nil"/>
            </w:tcBorders>
            <w:shd w:val="clear" w:color="auto" w:fill="auto"/>
            <w:noWrap/>
            <w:vAlign w:val="bottom"/>
            <w:hideMark/>
          </w:tcPr>
          <w:p w14:paraId="495D48CE"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 x International Consultant (PSMB Commission Work 3)</w:t>
            </w:r>
          </w:p>
        </w:tc>
        <w:tc>
          <w:tcPr>
            <w:tcW w:w="673" w:type="pct"/>
            <w:tcBorders>
              <w:top w:val="nil"/>
              <w:left w:val="nil"/>
              <w:bottom w:val="nil"/>
              <w:right w:val="nil"/>
            </w:tcBorders>
            <w:shd w:val="clear" w:color="auto" w:fill="auto"/>
            <w:noWrap/>
            <w:vAlign w:val="bottom"/>
            <w:hideMark/>
          </w:tcPr>
          <w:p w14:paraId="1ABED450"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1-May-22</w:t>
            </w:r>
          </w:p>
        </w:tc>
        <w:tc>
          <w:tcPr>
            <w:tcW w:w="592" w:type="pct"/>
            <w:tcBorders>
              <w:top w:val="nil"/>
              <w:left w:val="nil"/>
              <w:bottom w:val="nil"/>
              <w:right w:val="nil"/>
            </w:tcBorders>
            <w:shd w:val="clear" w:color="auto" w:fill="auto"/>
            <w:noWrap/>
            <w:vAlign w:val="bottom"/>
            <w:hideMark/>
          </w:tcPr>
          <w:p w14:paraId="25E3D3DC"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22,000</w:t>
            </w:r>
          </w:p>
        </w:tc>
        <w:tc>
          <w:tcPr>
            <w:tcW w:w="512" w:type="pct"/>
            <w:tcBorders>
              <w:top w:val="nil"/>
              <w:left w:val="nil"/>
              <w:bottom w:val="nil"/>
              <w:right w:val="nil"/>
            </w:tcBorders>
            <w:shd w:val="clear" w:color="auto" w:fill="auto"/>
            <w:noWrap/>
            <w:vAlign w:val="bottom"/>
            <w:hideMark/>
          </w:tcPr>
          <w:p w14:paraId="30436DBF"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1-May-22</w:t>
            </w:r>
          </w:p>
        </w:tc>
        <w:tc>
          <w:tcPr>
            <w:tcW w:w="512" w:type="pct"/>
            <w:tcBorders>
              <w:top w:val="nil"/>
              <w:left w:val="nil"/>
              <w:bottom w:val="nil"/>
              <w:right w:val="nil"/>
            </w:tcBorders>
            <w:shd w:val="clear" w:color="auto" w:fill="auto"/>
            <w:noWrap/>
            <w:vAlign w:val="bottom"/>
            <w:hideMark/>
          </w:tcPr>
          <w:p w14:paraId="25D61586" w14:textId="58C4DE74" w:rsidR="003A2238" w:rsidRPr="003A2238" w:rsidRDefault="003A2238" w:rsidP="008C480A">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w:t>
            </w:r>
            <w:r w:rsidR="008C480A">
              <w:rPr>
                <w:rFonts w:ascii="Calibri" w:eastAsia="Times New Roman" w:hAnsi="Calibri" w:cs="Calibri"/>
                <w:color w:val="000000"/>
                <w:sz w:val="20"/>
                <w:szCs w:val="20"/>
                <w:lang w:eastAsia="en-AU"/>
              </w:rPr>
              <w:t>0-Apr-</w:t>
            </w:r>
            <w:r w:rsidRPr="003A2238">
              <w:rPr>
                <w:rFonts w:ascii="Calibri" w:eastAsia="Times New Roman" w:hAnsi="Calibri" w:cs="Calibri"/>
                <w:color w:val="000000"/>
                <w:sz w:val="20"/>
                <w:szCs w:val="20"/>
                <w:lang w:eastAsia="en-AU"/>
              </w:rPr>
              <w:t>23</w:t>
            </w:r>
          </w:p>
        </w:tc>
      </w:tr>
      <w:tr w:rsidR="003A2238" w:rsidRPr="003A2238" w14:paraId="51D14AC8" w14:textId="77777777" w:rsidTr="003A2238">
        <w:trPr>
          <w:trHeight w:val="285"/>
        </w:trPr>
        <w:tc>
          <w:tcPr>
            <w:tcW w:w="2711" w:type="pct"/>
            <w:tcBorders>
              <w:top w:val="nil"/>
              <w:left w:val="nil"/>
              <w:bottom w:val="nil"/>
              <w:right w:val="nil"/>
            </w:tcBorders>
            <w:shd w:val="clear" w:color="auto" w:fill="auto"/>
            <w:noWrap/>
            <w:vAlign w:val="bottom"/>
            <w:hideMark/>
          </w:tcPr>
          <w:p w14:paraId="45BDE19A"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Regional conference venue (2 workshops; 4-days each)</w:t>
            </w:r>
          </w:p>
        </w:tc>
        <w:tc>
          <w:tcPr>
            <w:tcW w:w="673" w:type="pct"/>
            <w:tcBorders>
              <w:top w:val="nil"/>
              <w:left w:val="nil"/>
              <w:bottom w:val="nil"/>
              <w:right w:val="nil"/>
            </w:tcBorders>
            <w:shd w:val="clear" w:color="auto" w:fill="auto"/>
            <w:noWrap/>
            <w:vAlign w:val="bottom"/>
            <w:hideMark/>
          </w:tcPr>
          <w:p w14:paraId="2084AFA8"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1-Sep-22</w:t>
            </w:r>
          </w:p>
        </w:tc>
        <w:tc>
          <w:tcPr>
            <w:tcW w:w="592" w:type="pct"/>
            <w:tcBorders>
              <w:top w:val="nil"/>
              <w:left w:val="nil"/>
              <w:bottom w:val="nil"/>
              <w:right w:val="nil"/>
            </w:tcBorders>
            <w:shd w:val="clear" w:color="auto" w:fill="auto"/>
            <w:noWrap/>
            <w:vAlign w:val="bottom"/>
            <w:hideMark/>
          </w:tcPr>
          <w:p w14:paraId="1D538A4A"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40,000</w:t>
            </w:r>
          </w:p>
        </w:tc>
        <w:tc>
          <w:tcPr>
            <w:tcW w:w="512" w:type="pct"/>
            <w:tcBorders>
              <w:top w:val="nil"/>
              <w:left w:val="nil"/>
              <w:bottom w:val="nil"/>
              <w:right w:val="nil"/>
            </w:tcBorders>
            <w:shd w:val="clear" w:color="auto" w:fill="auto"/>
            <w:noWrap/>
            <w:vAlign w:val="bottom"/>
            <w:hideMark/>
          </w:tcPr>
          <w:p w14:paraId="28ECEC96"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1-Sep-22</w:t>
            </w:r>
          </w:p>
        </w:tc>
        <w:tc>
          <w:tcPr>
            <w:tcW w:w="512" w:type="pct"/>
            <w:tcBorders>
              <w:top w:val="nil"/>
              <w:left w:val="nil"/>
              <w:bottom w:val="nil"/>
              <w:right w:val="nil"/>
            </w:tcBorders>
            <w:shd w:val="clear" w:color="auto" w:fill="auto"/>
            <w:noWrap/>
            <w:vAlign w:val="bottom"/>
            <w:hideMark/>
          </w:tcPr>
          <w:p w14:paraId="243CF6B5"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30-Nov-22</w:t>
            </w:r>
          </w:p>
        </w:tc>
      </w:tr>
      <w:tr w:rsidR="003A2238" w:rsidRPr="003A2238" w14:paraId="2B8BBBAE" w14:textId="77777777" w:rsidTr="003A2238">
        <w:trPr>
          <w:trHeight w:val="285"/>
        </w:trPr>
        <w:tc>
          <w:tcPr>
            <w:tcW w:w="2711" w:type="pct"/>
            <w:tcBorders>
              <w:top w:val="nil"/>
              <w:left w:val="nil"/>
              <w:bottom w:val="nil"/>
              <w:right w:val="nil"/>
            </w:tcBorders>
            <w:shd w:val="clear" w:color="auto" w:fill="auto"/>
            <w:noWrap/>
            <w:vAlign w:val="bottom"/>
            <w:hideMark/>
          </w:tcPr>
          <w:p w14:paraId="652EAA01"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Virtual event manager (3 national/sub-regional workshops)</w:t>
            </w:r>
          </w:p>
        </w:tc>
        <w:tc>
          <w:tcPr>
            <w:tcW w:w="673" w:type="pct"/>
            <w:tcBorders>
              <w:top w:val="nil"/>
              <w:left w:val="nil"/>
              <w:bottom w:val="nil"/>
              <w:right w:val="nil"/>
            </w:tcBorders>
            <w:shd w:val="clear" w:color="auto" w:fill="auto"/>
            <w:noWrap/>
            <w:vAlign w:val="bottom"/>
            <w:hideMark/>
          </w:tcPr>
          <w:p w14:paraId="4A3CCFEA"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1-Jan-22</w:t>
            </w:r>
          </w:p>
        </w:tc>
        <w:tc>
          <w:tcPr>
            <w:tcW w:w="592" w:type="pct"/>
            <w:tcBorders>
              <w:top w:val="nil"/>
              <w:left w:val="nil"/>
              <w:bottom w:val="nil"/>
              <w:right w:val="nil"/>
            </w:tcBorders>
            <w:shd w:val="clear" w:color="auto" w:fill="auto"/>
            <w:noWrap/>
            <w:vAlign w:val="bottom"/>
            <w:hideMark/>
          </w:tcPr>
          <w:p w14:paraId="1A011EE6"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60,000</w:t>
            </w:r>
          </w:p>
        </w:tc>
        <w:tc>
          <w:tcPr>
            <w:tcW w:w="512" w:type="pct"/>
            <w:tcBorders>
              <w:top w:val="nil"/>
              <w:left w:val="nil"/>
              <w:bottom w:val="nil"/>
              <w:right w:val="nil"/>
            </w:tcBorders>
            <w:shd w:val="clear" w:color="auto" w:fill="auto"/>
            <w:noWrap/>
            <w:vAlign w:val="bottom"/>
            <w:hideMark/>
          </w:tcPr>
          <w:p w14:paraId="380B1DB2"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1-Jan-22</w:t>
            </w:r>
          </w:p>
        </w:tc>
        <w:tc>
          <w:tcPr>
            <w:tcW w:w="512" w:type="pct"/>
            <w:tcBorders>
              <w:top w:val="nil"/>
              <w:left w:val="nil"/>
              <w:bottom w:val="nil"/>
              <w:right w:val="nil"/>
            </w:tcBorders>
            <w:shd w:val="clear" w:color="auto" w:fill="auto"/>
            <w:noWrap/>
            <w:vAlign w:val="bottom"/>
            <w:hideMark/>
          </w:tcPr>
          <w:p w14:paraId="1D7EFBB9"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31-Dec-22</w:t>
            </w:r>
          </w:p>
        </w:tc>
      </w:tr>
      <w:tr w:rsidR="003A2238" w:rsidRPr="003A2238" w14:paraId="7C7AEE49" w14:textId="77777777" w:rsidTr="003A2238">
        <w:trPr>
          <w:trHeight w:val="285"/>
        </w:trPr>
        <w:tc>
          <w:tcPr>
            <w:tcW w:w="2711" w:type="pct"/>
            <w:tcBorders>
              <w:top w:val="nil"/>
              <w:left w:val="nil"/>
              <w:bottom w:val="nil"/>
              <w:right w:val="nil"/>
            </w:tcBorders>
            <w:shd w:val="clear" w:color="auto" w:fill="auto"/>
            <w:noWrap/>
            <w:vAlign w:val="bottom"/>
            <w:hideMark/>
          </w:tcPr>
          <w:p w14:paraId="2AABC307"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PSMB Guidance Notes editing, layout and publication</w:t>
            </w:r>
          </w:p>
        </w:tc>
        <w:tc>
          <w:tcPr>
            <w:tcW w:w="673" w:type="pct"/>
            <w:tcBorders>
              <w:top w:val="nil"/>
              <w:left w:val="nil"/>
              <w:bottom w:val="nil"/>
              <w:right w:val="nil"/>
            </w:tcBorders>
            <w:shd w:val="clear" w:color="auto" w:fill="auto"/>
            <w:noWrap/>
            <w:vAlign w:val="bottom"/>
            <w:hideMark/>
          </w:tcPr>
          <w:p w14:paraId="1A659B98"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31-Mar-22</w:t>
            </w:r>
          </w:p>
        </w:tc>
        <w:tc>
          <w:tcPr>
            <w:tcW w:w="592" w:type="pct"/>
            <w:tcBorders>
              <w:top w:val="nil"/>
              <w:left w:val="nil"/>
              <w:bottom w:val="nil"/>
              <w:right w:val="nil"/>
            </w:tcBorders>
            <w:shd w:val="clear" w:color="auto" w:fill="auto"/>
            <w:noWrap/>
            <w:vAlign w:val="bottom"/>
            <w:hideMark/>
          </w:tcPr>
          <w:p w14:paraId="470EC499"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10,000</w:t>
            </w:r>
          </w:p>
        </w:tc>
        <w:tc>
          <w:tcPr>
            <w:tcW w:w="512" w:type="pct"/>
            <w:tcBorders>
              <w:top w:val="nil"/>
              <w:left w:val="nil"/>
              <w:bottom w:val="nil"/>
              <w:right w:val="nil"/>
            </w:tcBorders>
            <w:shd w:val="clear" w:color="auto" w:fill="auto"/>
            <w:noWrap/>
            <w:vAlign w:val="bottom"/>
            <w:hideMark/>
          </w:tcPr>
          <w:p w14:paraId="1C990C22"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31-Mar-22</w:t>
            </w:r>
          </w:p>
        </w:tc>
        <w:tc>
          <w:tcPr>
            <w:tcW w:w="512" w:type="pct"/>
            <w:tcBorders>
              <w:top w:val="nil"/>
              <w:left w:val="nil"/>
              <w:bottom w:val="nil"/>
              <w:right w:val="nil"/>
            </w:tcBorders>
            <w:shd w:val="clear" w:color="auto" w:fill="auto"/>
            <w:noWrap/>
            <w:vAlign w:val="bottom"/>
            <w:hideMark/>
          </w:tcPr>
          <w:p w14:paraId="36733311"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31-Dec-22</w:t>
            </w:r>
          </w:p>
        </w:tc>
      </w:tr>
      <w:tr w:rsidR="003A2238" w:rsidRPr="003A2238" w14:paraId="3A7D07A2" w14:textId="77777777" w:rsidTr="003A2238">
        <w:trPr>
          <w:trHeight w:val="285"/>
        </w:trPr>
        <w:tc>
          <w:tcPr>
            <w:tcW w:w="2711" w:type="pct"/>
            <w:tcBorders>
              <w:top w:val="nil"/>
              <w:left w:val="nil"/>
              <w:bottom w:val="nil"/>
              <w:right w:val="nil"/>
            </w:tcBorders>
            <w:shd w:val="clear" w:color="auto" w:fill="auto"/>
            <w:noWrap/>
            <w:vAlign w:val="bottom"/>
            <w:hideMark/>
          </w:tcPr>
          <w:p w14:paraId="131461EE" w14:textId="1288A9EC" w:rsidR="003A2238" w:rsidRPr="003A2238" w:rsidRDefault="00FA49CB"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YouTube</w:t>
            </w:r>
            <w:r w:rsidR="003A2238" w:rsidRPr="003A2238">
              <w:rPr>
                <w:rFonts w:ascii="Calibri" w:eastAsia="Times New Roman" w:hAnsi="Calibri" w:cs="Calibri"/>
                <w:color w:val="000000"/>
                <w:sz w:val="20"/>
                <w:szCs w:val="20"/>
                <w:lang w:eastAsia="en-AU"/>
              </w:rPr>
              <w:t xml:space="preserve"> video production (filming, editing, publishing)</w:t>
            </w:r>
          </w:p>
        </w:tc>
        <w:tc>
          <w:tcPr>
            <w:tcW w:w="673" w:type="pct"/>
            <w:tcBorders>
              <w:top w:val="nil"/>
              <w:left w:val="nil"/>
              <w:bottom w:val="nil"/>
              <w:right w:val="nil"/>
            </w:tcBorders>
            <w:shd w:val="clear" w:color="auto" w:fill="auto"/>
            <w:noWrap/>
            <w:vAlign w:val="bottom"/>
            <w:hideMark/>
          </w:tcPr>
          <w:p w14:paraId="0FFDA13C"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31-Mar-22</w:t>
            </w:r>
          </w:p>
        </w:tc>
        <w:tc>
          <w:tcPr>
            <w:tcW w:w="592" w:type="pct"/>
            <w:tcBorders>
              <w:top w:val="nil"/>
              <w:left w:val="nil"/>
              <w:bottom w:val="nil"/>
              <w:right w:val="nil"/>
            </w:tcBorders>
            <w:shd w:val="clear" w:color="auto" w:fill="auto"/>
            <w:noWrap/>
            <w:vAlign w:val="bottom"/>
            <w:hideMark/>
          </w:tcPr>
          <w:p w14:paraId="101F3000"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25,000</w:t>
            </w:r>
          </w:p>
        </w:tc>
        <w:tc>
          <w:tcPr>
            <w:tcW w:w="512" w:type="pct"/>
            <w:tcBorders>
              <w:top w:val="nil"/>
              <w:left w:val="nil"/>
              <w:bottom w:val="nil"/>
              <w:right w:val="nil"/>
            </w:tcBorders>
            <w:shd w:val="clear" w:color="auto" w:fill="auto"/>
            <w:noWrap/>
            <w:vAlign w:val="bottom"/>
            <w:hideMark/>
          </w:tcPr>
          <w:p w14:paraId="17812221"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31-Mar-22</w:t>
            </w:r>
          </w:p>
        </w:tc>
        <w:tc>
          <w:tcPr>
            <w:tcW w:w="512" w:type="pct"/>
            <w:tcBorders>
              <w:top w:val="nil"/>
              <w:left w:val="nil"/>
              <w:bottom w:val="nil"/>
              <w:right w:val="nil"/>
            </w:tcBorders>
            <w:shd w:val="clear" w:color="auto" w:fill="auto"/>
            <w:noWrap/>
            <w:vAlign w:val="bottom"/>
            <w:hideMark/>
          </w:tcPr>
          <w:p w14:paraId="50071352"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31-Dec-22</w:t>
            </w:r>
          </w:p>
        </w:tc>
      </w:tr>
      <w:tr w:rsidR="003A2238" w:rsidRPr="003A2238" w14:paraId="1115BBAA" w14:textId="77777777" w:rsidTr="003A2238">
        <w:trPr>
          <w:trHeight w:val="285"/>
        </w:trPr>
        <w:tc>
          <w:tcPr>
            <w:tcW w:w="2711" w:type="pct"/>
            <w:tcBorders>
              <w:top w:val="nil"/>
              <w:left w:val="nil"/>
              <w:bottom w:val="nil"/>
              <w:right w:val="nil"/>
            </w:tcBorders>
            <w:shd w:val="clear" w:color="auto" w:fill="auto"/>
            <w:noWrap/>
            <w:vAlign w:val="bottom"/>
            <w:hideMark/>
          </w:tcPr>
          <w:p w14:paraId="699A9955"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Tuvalu sub-grant</w:t>
            </w:r>
          </w:p>
        </w:tc>
        <w:tc>
          <w:tcPr>
            <w:tcW w:w="673" w:type="pct"/>
            <w:tcBorders>
              <w:top w:val="nil"/>
              <w:left w:val="nil"/>
              <w:bottom w:val="nil"/>
              <w:right w:val="nil"/>
            </w:tcBorders>
            <w:shd w:val="clear" w:color="auto" w:fill="auto"/>
            <w:noWrap/>
            <w:vAlign w:val="bottom"/>
            <w:hideMark/>
          </w:tcPr>
          <w:p w14:paraId="6AF936A8"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1-Jul-22</w:t>
            </w:r>
          </w:p>
        </w:tc>
        <w:tc>
          <w:tcPr>
            <w:tcW w:w="592" w:type="pct"/>
            <w:tcBorders>
              <w:top w:val="nil"/>
              <w:left w:val="nil"/>
              <w:bottom w:val="nil"/>
              <w:right w:val="nil"/>
            </w:tcBorders>
            <w:shd w:val="clear" w:color="auto" w:fill="auto"/>
            <w:noWrap/>
            <w:vAlign w:val="bottom"/>
            <w:hideMark/>
          </w:tcPr>
          <w:p w14:paraId="75B2B0A2"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200,000</w:t>
            </w:r>
          </w:p>
        </w:tc>
        <w:tc>
          <w:tcPr>
            <w:tcW w:w="512" w:type="pct"/>
            <w:tcBorders>
              <w:top w:val="nil"/>
              <w:left w:val="nil"/>
              <w:bottom w:val="nil"/>
              <w:right w:val="nil"/>
            </w:tcBorders>
            <w:shd w:val="clear" w:color="auto" w:fill="auto"/>
            <w:noWrap/>
            <w:vAlign w:val="bottom"/>
            <w:hideMark/>
          </w:tcPr>
          <w:p w14:paraId="632F1C61"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1-Jul-22</w:t>
            </w:r>
          </w:p>
        </w:tc>
        <w:tc>
          <w:tcPr>
            <w:tcW w:w="512" w:type="pct"/>
            <w:tcBorders>
              <w:top w:val="nil"/>
              <w:left w:val="nil"/>
              <w:bottom w:val="nil"/>
              <w:right w:val="nil"/>
            </w:tcBorders>
            <w:shd w:val="clear" w:color="auto" w:fill="auto"/>
            <w:noWrap/>
            <w:vAlign w:val="bottom"/>
            <w:hideMark/>
          </w:tcPr>
          <w:p w14:paraId="216093E0"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31-Dec-22</w:t>
            </w:r>
          </w:p>
        </w:tc>
      </w:tr>
      <w:tr w:rsidR="003A2238" w:rsidRPr="003A2238" w14:paraId="64EE5120" w14:textId="77777777" w:rsidTr="003A2238">
        <w:trPr>
          <w:trHeight w:val="285"/>
        </w:trPr>
        <w:tc>
          <w:tcPr>
            <w:tcW w:w="2711" w:type="pct"/>
            <w:tcBorders>
              <w:top w:val="nil"/>
              <w:left w:val="nil"/>
              <w:bottom w:val="single" w:sz="4" w:space="0" w:color="auto"/>
              <w:right w:val="nil"/>
            </w:tcBorders>
            <w:shd w:val="clear" w:color="auto" w:fill="auto"/>
            <w:noWrap/>
            <w:vAlign w:val="bottom"/>
            <w:hideMark/>
          </w:tcPr>
          <w:p w14:paraId="09CD2095" w14:textId="77777777" w:rsidR="003A2238" w:rsidRPr="003A2238" w:rsidRDefault="003A2238" w:rsidP="003A2238">
            <w:pPr>
              <w:spacing w:after="0" w:line="240" w:lineRule="auto"/>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Tonga sub-grant</w:t>
            </w:r>
          </w:p>
        </w:tc>
        <w:tc>
          <w:tcPr>
            <w:tcW w:w="673" w:type="pct"/>
            <w:tcBorders>
              <w:top w:val="nil"/>
              <w:left w:val="nil"/>
              <w:bottom w:val="single" w:sz="4" w:space="0" w:color="auto"/>
              <w:right w:val="nil"/>
            </w:tcBorders>
            <w:shd w:val="clear" w:color="auto" w:fill="auto"/>
            <w:noWrap/>
            <w:vAlign w:val="bottom"/>
            <w:hideMark/>
          </w:tcPr>
          <w:p w14:paraId="1D67B3F8"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1-Jul-22</w:t>
            </w:r>
          </w:p>
        </w:tc>
        <w:tc>
          <w:tcPr>
            <w:tcW w:w="592" w:type="pct"/>
            <w:tcBorders>
              <w:top w:val="nil"/>
              <w:left w:val="nil"/>
              <w:bottom w:val="single" w:sz="4" w:space="0" w:color="auto"/>
              <w:right w:val="nil"/>
            </w:tcBorders>
            <w:shd w:val="clear" w:color="auto" w:fill="auto"/>
            <w:noWrap/>
            <w:vAlign w:val="bottom"/>
            <w:hideMark/>
          </w:tcPr>
          <w:p w14:paraId="2E7001A5"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EUR 150,000</w:t>
            </w:r>
          </w:p>
        </w:tc>
        <w:tc>
          <w:tcPr>
            <w:tcW w:w="512" w:type="pct"/>
            <w:tcBorders>
              <w:top w:val="nil"/>
              <w:left w:val="nil"/>
              <w:bottom w:val="single" w:sz="4" w:space="0" w:color="auto"/>
              <w:right w:val="nil"/>
            </w:tcBorders>
            <w:shd w:val="clear" w:color="auto" w:fill="auto"/>
            <w:noWrap/>
            <w:vAlign w:val="bottom"/>
            <w:hideMark/>
          </w:tcPr>
          <w:p w14:paraId="19FBD489"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1-Jul-22</w:t>
            </w:r>
          </w:p>
        </w:tc>
        <w:tc>
          <w:tcPr>
            <w:tcW w:w="512" w:type="pct"/>
            <w:tcBorders>
              <w:top w:val="nil"/>
              <w:left w:val="nil"/>
              <w:bottom w:val="single" w:sz="4" w:space="0" w:color="auto"/>
              <w:right w:val="nil"/>
            </w:tcBorders>
            <w:shd w:val="clear" w:color="auto" w:fill="auto"/>
            <w:noWrap/>
            <w:vAlign w:val="bottom"/>
            <w:hideMark/>
          </w:tcPr>
          <w:p w14:paraId="6D154B15" w14:textId="77777777" w:rsidR="003A2238" w:rsidRPr="003A2238" w:rsidRDefault="003A2238" w:rsidP="003A2238">
            <w:pPr>
              <w:spacing w:after="0" w:line="240" w:lineRule="auto"/>
              <w:jc w:val="right"/>
              <w:rPr>
                <w:rFonts w:ascii="Calibri" w:eastAsia="Times New Roman" w:hAnsi="Calibri" w:cs="Calibri"/>
                <w:color w:val="000000"/>
                <w:sz w:val="20"/>
                <w:szCs w:val="20"/>
                <w:lang w:eastAsia="en-AU"/>
              </w:rPr>
            </w:pPr>
            <w:r w:rsidRPr="003A2238">
              <w:rPr>
                <w:rFonts w:ascii="Calibri" w:eastAsia="Times New Roman" w:hAnsi="Calibri" w:cs="Calibri"/>
                <w:color w:val="000000"/>
                <w:sz w:val="20"/>
                <w:szCs w:val="20"/>
                <w:lang w:eastAsia="en-AU"/>
              </w:rPr>
              <w:t>31-Dec-22</w:t>
            </w:r>
          </w:p>
        </w:tc>
      </w:tr>
    </w:tbl>
    <w:p w14:paraId="36D6F581" w14:textId="77777777" w:rsidR="003A2238" w:rsidRPr="003A2238" w:rsidRDefault="003A2238" w:rsidP="003A2238"/>
    <w:p w14:paraId="4A302DFA" w14:textId="3ED28809" w:rsidR="00A20E6E" w:rsidRPr="00A20E6E" w:rsidRDefault="00C07EC5" w:rsidP="00A20E6E">
      <w:r>
        <w:t xml:space="preserve">The Project </w:t>
      </w:r>
      <w:r w:rsidR="002B231B">
        <w:t>P</w:t>
      </w:r>
      <w:r>
        <w:t xml:space="preserve">rocurement </w:t>
      </w:r>
      <w:r w:rsidR="002B231B">
        <w:t>P</w:t>
      </w:r>
      <w:r>
        <w:t xml:space="preserve">lan </w:t>
      </w:r>
      <w:r w:rsidR="003A2238">
        <w:t>will be</w:t>
      </w:r>
      <w:r>
        <w:t xml:space="preserve"> updated in STEP</w:t>
      </w:r>
      <w:r w:rsidR="002B231B">
        <w:t xml:space="preserve"> </w:t>
      </w:r>
      <w:r w:rsidR="003A2238">
        <w:t>upon approval of the 2022</w:t>
      </w:r>
      <w:r w:rsidR="002B231B">
        <w:t xml:space="preserve"> AWP</w:t>
      </w:r>
      <w:r>
        <w:t>.</w:t>
      </w:r>
    </w:p>
    <w:p w14:paraId="3560B38E" w14:textId="58BB58EB" w:rsidR="0045141B" w:rsidRDefault="0045141B" w:rsidP="0045141B">
      <w:pPr>
        <w:pStyle w:val="Heading1"/>
      </w:pPr>
      <w:bookmarkStart w:id="26" w:name="_Toc88030679"/>
      <w:r>
        <w:t>Reporting requirements for 202</w:t>
      </w:r>
      <w:r w:rsidR="00565921">
        <w:t>2</w:t>
      </w:r>
      <w:bookmarkEnd w:id="26"/>
    </w:p>
    <w:p w14:paraId="59D50FFF" w14:textId="34E3DE0C" w:rsidR="000C1C99" w:rsidRDefault="000C1C99" w:rsidP="000C1C99">
      <w:r>
        <w:t>The reporting requirements for 202</w:t>
      </w:r>
      <w:r w:rsidR="00565921">
        <w:t>2</w:t>
      </w:r>
      <w:r>
        <w:t xml:space="preserve"> are as follows:</w:t>
      </w:r>
    </w:p>
    <w:tbl>
      <w:tblPr>
        <w:tblStyle w:val="TableGrid"/>
        <w:tblW w:w="0" w:type="auto"/>
        <w:tblLook w:val="04A0" w:firstRow="1" w:lastRow="0" w:firstColumn="1" w:lastColumn="0" w:noHBand="0" w:noVBand="1"/>
      </w:tblPr>
      <w:tblGrid>
        <w:gridCol w:w="3706"/>
        <w:gridCol w:w="3267"/>
        <w:gridCol w:w="3103"/>
      </w:tblGrid>
      <w:tr w:rsidR="000C1C99" w14:paraId="45EBE865" w14:textId="77777777" w:rsidTr="000C1C99">
        <w:tc>
          <w:tcPr>
            <w:tcW w:w="3706" w:type="dxa"/>
          </w:tcPr>
          <w:p w14:paraId="5DD3996E" w14:textId="77777777" w:rsidR="000C1C99" w:rsidRPr="000C1C99" w:rsidRDefault="000C1C99" w:rsidP="000C1C99">
            <w:pPr>
              <w:rPr>
                <w:b/>
              </w:rPr>
            </w:pPr>
            <w:r>
              <w:rPr>
                <w:b/>
              </w:rPr>
              <w:t>Report</w:t>
            </w:r>
          </w:p>
        </w:tc>
        <w:tc>
          <w:tcPr>
            <w:tcW w:w="3267" w:type="dxa"/>
          </w:tcPr>
          <w:p w14:paraId="19B1EB1A" w14:textId="77777777" w:rsidR="000C1C99" w:rsidRPr="000C1C99" w:rsidRDefault="000C1C99" w:rsidP="000C1C99">
            <w:pPr>
              <w:rPr>
                <w:b/>
              </w:rPr>
            </w:pPr>
            <w:r w:rsidRPr="000C1C99">
              <w:rPr>
                <w:b/>
              </w:rPr>
              <w:t>Due date</w:t>
            </w:r>
          </w:p>
        </w:tc>
        <w:tc>
          <w:tcPr>
            <w:tcW w:w="3103" w:type="dxa"/>
          </w:tcPr>
          <w:p w14:paraId="59950BA0" w14:textId="77777777" w:rsidR="000C1C99" w:rsidRPr="000C1C99" w:rsidRDefault="000C1C99" w:rsidP="000C1C99">
            <w:pPr>
              <w:rPr>
                <w:b/>
              </w:rPr>
            </w:pPr>
            <w:r>
              <w:rPr>
                <w:b/>
              </w:rPr>
              <w:t>Status</w:t>
            </w:r>
          </w:p>
        </w:tc>
      </w:tr>
      <w:tr w:rsidR="000C1C99" w14:paraId="01CD86E3" w14:textId="77777777" w:rsidTr="000C1C99">
        <w:tc>
          <w:tcPr>
            <w:tcW w:w="3706" w:type="dxa"/>
          </w:tcPr>
          <w:p w14:paraId="063F3A6B" w14:textId="77777777" w:rsidR="000C1C99" w:rsidRDefault="000C1C99" w:rsidP="000C1C99">
            <w:r w:rsidRPr="00D112F7">
              <w:t>Project progress report (incl. ESS implementation)</w:t>
            </w:r>
          </w:p>
        </w:tc>
        <w:tc>
          <w:tcPr>
            <w:tcW w:w="3267" w:type="dxa"/>
          </w:tcPr>
          <w:p w14:paraId="42B0D88A" w14:textId="1468576C" w:rsidR="000C1C99" w:rsidRDefault="000C1C99" w:rsidP="000C1C99">
            <w:r>
              <w:t>31 January 202</w:t>
            </w:r>
            <w:r w:rsidR="00CD2E10">
              <w:t>2</w:t>
            </w:r>
          </w:p>
        </w:tc>
        <w:tc>
          <w:tcPr>
            <w:tcW w:w="3103" w:type="dxa"/>
          </w:tcPr>
          <w:p w14:paraId="156FEC6B" w14:textId="61FCBFFB" w:rsidR="000C1C99" w:rsidRDefault="00CD2E10" w:rsidP="00A220C5">
            <w:r>
              <w:t>Planned</w:t>
            </w:r>
          </w:p>
        </w:tc>
      </w:tr>
      <w:tr w:rsidR="000C1C99" w14:paraId="5D750C3D" w14:textId="77777777" w:rsidTr="000C1C99">
        <w:tc>
          <w:tcPr>
            <w:tcW w:w="3706" w:type="dxa"/>
          </w:tcPr>
          <w:p w14:paraId="44BC66EA" w14:textId="77777777" w:rsidR="000C1C99" w:rsidRDefault="000C1C99" w:rsidP="000C1C99">
            <w:r>
              <w:t>Interim unaudited financial reports</w:t>
            </w:r>
          </w:p>
        </w:tc>
        <w:tc>
          <w:tcPr>
            <w:tcW w:w="3267" w:type="dxa"/>
          </w:tcPr>
          <w:p w14:paraId="0AC4FE8C" w14:textId="383C3F8E" w:rsidR="000C1C99" w:rsidRDefault="000C1C99" w:rsidP="000C1C99">
            <w:r>
              <w:t>15 February 202</w:t>
            </w:r>
            <w:r w:rsidR="00CD2E10">
              <w:t>2</w:t>
            </w:r>
          </w:p>
        </w:tc>
        <w:tc>
          <w:tcPr>
            <w:tcW w:w="3103" w:type="dxa"/>
          </w:tcPr>
          <w:p w14:paraId="4265FBAE" w14:textId="3396BB03" w:rsidR="000C1C99" w:rsidRDefault="00CD2E10" w:rsidP="000C1C99">
            <w:r>
              <w:t>Planned</w:t>
            </w:r>
          </w:p>
        </w:tc>
      </w:tr>
      <w:tr w:rsidR="00CD2E10" w14:paraId="54CDAD45" w14:textId="77777777" w:rsidTr="000C1C99">
        <w:tc>
          <w:tcPr>
            <w:tcW w:w="3706" w:type="dxa"/>
          </w:tcPr>
          <w:p w14:paraId="6E636BAE" w14:textId="77777777" w:rsidR="00CD2E10" w:rsidRDefault="00CD2E10" w:rsidP="00CD2E10">
            <w:r>
              <w:t>Statement of Expenditure</w:t>
            </w:r>
          </w:p>
        </w:tc>
        <w:tc>
          <w:tcPr>
            <w:tcW w:w="3267" w:type="dxa"/>
          </w:tcPr>
          <w:p w14:paraId="7726E526" w14:textId="26AA7B45" w:rsidR="00CD2E10" w:rsidRDefault="00CD2E10" w:rsidP="00CD2E10">
            <w:r>
              <w:t>31 March 2022</w:t>
            </w:r>
          </w:p>
        </w:tc>
        <w:tc>
          <w:tcPr>
            <w:tcW w:w="3103" w:type="dxa"/>
          </w:tcPr>
          <w:p w14:paraId="2A31D539" w14:textId="69D793A5" w:rsidR="00CD2E10" w:rsidRDefault="00CD2E10" w:rsidP="00CD2E10">
            <w:r w:rsidRPr="005E4591">
              <w:t>Planned</w:t>
            </w:r>
          </w:p>
        </w:tc>
      </w:tr>
      <w:tr w:rsidR="00CD2E10" w14:paraId="5AC0364F" w14:textId="77777777" w:rsidTr="000C1C99">
        <w:tc>
          <w:tcPr>
            <w:tcW w:w="3706" w:type="dxa"/>
          </w:tcPr>
          <w:p w14:paraId="717D076E" w14:textId="77777777" w:rsidR="00CD2E10" w:rsidRDefault="00CD2E10" w:rsidP="00CD2E10">
            <w:r>
              <w:t>Statement of Expenditure</w:t>
            </w:r>
          </w:p>
        </w:tc>
        <w:tc>
          <w:tcPr>
            <w:tcW w:w="3267" w:type="dxa"/>
          </w:tcPr>
          <w:p w14:paraId="6492FF38" w14:textId="604625E2" w:rsidR="00CD2E10" w:rsidRDefault="00CD2E10" w:rsidP="00CD2E10">
            <w:r>
              <w:t>30 June 2022</w:t>
            </w:r>
          </w:p>
        </w:tc>
        <w:tc>
          <w:tcPr>
            <w:tcW w:w="3103" w:type="dxa"/>
          </w:tcPr>
          <w:p w14:paraId="7655F5B6" w14:textId="7DD67502" w:rsidR="00CD2E10" w:rsidRDefault="00CD2E10" w:rsidP="00CD2E10">
            <w:r w:rsidRPr="005E4591">
              <w:t>Planned</w:t>
            </w:r>
          </w:p>
        </w:tc>
      </w:tr>
      <w:tr w:rsidR="00CD2E10" w14:paraId="76A18DE1" w14:textId="77777777" w:rsidTr="000C1C99">
        <w:tc>
          <w:tcPr>
            <w:tcW w:w="3706" w:type="dxa"/>
          </w:tcPr>
          <w:p w14:paraId="1AF063D2" w14:textId="77777777" w:rsidR="00CD2E10" w:rsidRDefault="00CD2E10" w:rsidP="00CD2E10">
            <w:r w:rsidRPr="00D112F7">
              <w:t>Project progress report (incl. ESS implementation)</w:t>
            </w:r>
          </w:p>
        </w:tc>
        <w:tc>
          <w:tcPr>
            <w:tcW w:w="3267" w:type="dxa"/>
          </w:tcPr>
          <w:p w14:paraId="13323114" w14:textId="69F04698" w:rsidR="00CD2E10" w:rsidRDefault="00CD2E10" w:rsidP="00CD2E10">
            <w:r>
              <w:t>31 July 2022</w:t>
            </w:r>
          </w:p>
        </w:tc>
        <w:tc>
          <w:tcPr>
            <w:tcW w:w="3103" w:type="dxa"/>
          </w:tcPr>
          <w:p w14:paraId="0791922D" w14:textId="56F89F39" w:rsidR="00CD2E10" w:rsidRDefault="00CD2E10" w:rsidP="00CD2E10">
            <w:r w:rsidRPr="005E4591">
              <w:t>Planned</w:t>
            </w:r>
          </w:p>
        </w:tc>
      </w:tr>
      <w:tr w:rsidR="00CD2E10" w14:paraId="4A8D74C7" w14:textId="77777777" w:rsidTr="000C1C99">
        <w:tc>
          <w:tcPr>
            <w:tcW w:w="3706" w:type="dxa"/>
          </w:tcPr>
          <w:p w14:paraId="2ECCE028" w14:textId="77777777" w:rsidR="00CD2E10" w:rsidRDefault="00CD2E10" w:rsidP="00CD2E10">
            <w:r>
              <w:t>Interim unaudited financial reports</w:t>
            </w:r>
          </w:p>
        </w:tc>
        <w:tc>
          <w:tcPr>
            <w:tcW w:w="3267" w:type="dxa"/>
          </w:tcPr>
          <w:p w14:paraId="04C03C45" w14:textId="0FB0DC4B" w:rsidR="00CD2E10" w:rsidRDefault="00CD2E10" w:rsidP="00CD2E10">
            <w:r>
              <w:t>15 August 2022</w:t>
            </w:r>
          </w:p>
        </w:tc>
        <w:tc>
          <w:tcPr>
            <w:tcW w:w="3103" w:type="dxa"/>
          </w:tcPr>
          <w:p w14:paraId="5DD4DF75" w14:textId="15CFDD9D" w:rsidR="00CD2E10" w:rsidRDefault="00CD2E10" w:rsidP="00CD2E10">
            <w:r w:rsidRPr="005E4591">
              <w:t>Planned</w:t>
            </w:r>
          </w:p>
        </w:tc>
      </w:tr>
      <w:tr w:rsidR="00CD2E10" w14:paraId="4DF7C18E" w14:textId="77777777" w:rsidTr="000C1C99">
        <w:tc>
          <w:tcPr>
            <w:tcW w:w="3706" w:type="dxa"/>
          </w:tcPr>
          <w:p w14:paraId="2FC5D800" w14:textId="79306912" w:rsidR="00CD2E10" w:rsidRDefault="00CD2E10" w:rsidP="00CD2E10">
            <w:r>
              <w:t>Annual audited financial statements (2021)</w:t>
            </w:r>
          </w:p>
        </w:tc>
        <w:tc>
          <w:tcPr>
            <w:tcW w:w="3267" w:type="dxa"/>
          </w:tcPr>
          <w:p w14:paraId="53FC4C71" w14:textId="0833BD59" w:rsidR="00CD2E10" w:rsidRDefault="00CD2E10" w:rsidP="00CD2E10">
            <w:r>
              <w:t>31 August 2022</w:t>
            </w:r>
          </w:p>
        </w:tc>
        <w:tc>
          <w:tcPr>
            <w:tcW w:w="3103" w:type="dxa"/>
          </w:tcPr>
          <w:p w14:paraId="110D8018" w14:textId="627584EF" w:rsidR="00CD2E10" w:rsidRDefault="00CD2E10" w:rsidP="00CD2E10">
            <w:r w:rsidRPr="005E4591">
              <w:t>Planned</w:t>
            </w:r>
          </w:p>
        </w:tc>
      </w:tr>
      <w:tr w:rsidR="00CD2E10" w14:paraId="1CD2AB20" w14:textId="77777777" w:rsidTr="000C1C99">
        <w:tc>
          <w:tcPr>
            <w:tcW w:w="3706" w:type="dxa"/>
          </w:tcPr>
          <w:p w14:paraId="34C93E34" w14:textId="77777777" w:rsidR="00CD2E10" w:rsidRDefault="00CD2E10" w:rsidP="00CD2E10">
            <w:r>
              <w:t>Statement of expenditure</w:t>
            </w:r>
          </w:p>
        </w:tc>
        <w:tc>
          <w:tcPr>
            <w:tcW w:w="3267" w:type="dxa"/>
          </w:tcPr>
          <w:p w14:paraId="27640DA9" w14:textId="65590FF8" w:rsidR="00CD2E10" w:rsidRDefault="00CD2E10" w:rsidP="00CD2E10">
            <w:r>
              <w:t>30 September 2022</w:t>
            </w:r>
          </w:p>
        </w:tc>
        <w:tc>
          <w:tcPr>
            <w:tcW w:w="3103" w:type="dxa"/>
          </w:tcPr>
          <w:p w14:paraId="446CCBC9" w14:textId="432761A7" w:rsidR="00CD2E10" w:rsidRDefault="00CD2E10" w:rsidP="00CD2E10">
            <w:r w:rsidRPr="005E4591">
              <w:t>Planned</w:t>
            </w:r>
          </w:p>
        </w:tc>
      </w:tr>
      <w:tr w:rsidR="00CD2E10" w14:paraId="1306E895" w14:textId="77777777" w:rsidTr="000C1C99">
        <w:tc>
          <w:tcPr>
            <w:tcW w:w="3706" w:type="dxa"/>
          </w:tcPr>
          <w:p w14:paraId="58FB9A94" w14:textId="77777777" w:rsidR="00CD2E10" w:rsidRDefault="00CD2E10" w:rsidP="00CD2E10">
            <w:r>
              <w:t>2021 Annual Work Plan and Budget</w:t>
            </w:r>
          </w:p>
        </w:tc>
        <w:tc>
          <w:tcPr>
            <w:tcW w:w="3267" w:type="dxa"/>
          </w:tcPr>
          <w:p w14:paraId="47660332" w14:textId="6E48EF6C" w:rsidR="00CD2E10" w:rsidRDefault="00CD2E10" w:rsidP="00CD2E10">
            <w:r>
              <w:t>1 November 2022</w:t>
            </w:r>
          </w:p>
        </w:tc>
        <w:tc>
          <w:tcPr>
            <w:tcW w:w="3103" w:type="dxa"/>
          </w:tcPr>
          <w:p w14:paraId="2F95706E" w14:textId="41FE5DA8" w:rsidR="00CD2E10" w:rsidRDefault="00CD2E10" w:rsidP="00CD2E10">
            <w:r w:rsidRPr="005E4591">
              <w:t>Planned</w:t>
            </w:r>
          </w:p>
        </w:tc>
      </w:tr>
      <w:tr w:rsidR="00CD2E10" w14:paraId="3B7D6C27" w14:textId="77777777" w:rsidTr="000C1C99">
        <w:tc>
          <w:tcPr>
            <w:tcW w:w="3706" w:type="dxa"/>
          </w:tcPr>
          <w:p w14:paraId="0B154D96" w14:textId="77777777" w:rsidR="00CD2E10" w:rsidRDefault="00CD2E10" w:rsidP="00CD2E10">
            <w:r>
              <w:t>Statement of expenditure</w:t>
            </w:r>
          </w:p>
        </w:tc>
        <w:tc>
          <w:tcPr>
            <w:tcW w:w="3267" w:type="dxa"/>
          </w:tcPr>
          <w:p w14:paraId="4B4E2279" w14:textId="094EA11D" w:rsidR="00CD2E10" w:rsidRDefault="00CD2E10" w:rsidP="00CD2E10">
            <w:r>
              <w:t>31 December 2022</w:t>
            </w:r>
          </w:p>
        </w:tc>
        <w:tc>
          <w:tcPr>
            <w:tcW w:w="3103" w:type="dxa"/>
          </w:tcPr>
          <w:p w14:paraId="0F8D5187" w14:textId="1DC092FA" w:rsidR="00CD2E10" w:rsidRDefault="00CD2E10" w:rsidP="00CD2E10">
            <w:r w:rsidRPr="005E4591">
              <w:t>Planned</w:t>
            </w:r>
          </w:p>
        </w:tc>
      </w:tr>
    </w:tbl>
    <w:p w14:paraId="75EC7A35" w14:textId="63855A69" w:rsidR="001D1FA5" w:rsidRDefault="001D1FA5">
      <w:pPr>
        <w:rPr>
          <w:rFonts w:asciiTheme="majorHAnsi" w:eastAsiaTheme="majorEastAsia" w:hAnsiTheme="majorHAnsi" w:cstheme="majorBidi"/>
          <w:color w:val="2E74B5" w:themeColor="accent1" w:themeShade="BF"/>
          <w:sz w:val="32"/>
          <w:szCs w:val="32"/>
        </w:rPr>
      </w:pPr>
    </w:p>
    <w:sectPr w:rsidR="001D1FA5" w:rsidSect="007E28D6">
      <w:pgSz w:w="11900" w:h="16840" w:code="9"/>
      <w:pgMar w:top="965" w:right="907" w:bottom="85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E4F7" w14:textId="77777777" w:rsidR="000E5410" w:rsidRDefault="000E5410" w:rsidP="004F6A99">
      <w:pPr>
        <w:spacing w:after="0" w:line="240" w:lineRule="auto"/>
      </w:pPr>
      <w:r>
        <w:separator/>
      </w:r>
    </w:p>
  </w:endnote>
  <w:endnote w:type="continuationSeparator" w:id="0">
    <w:p w14:paraId="7F51D619" w14:textId="77777777" w:rsidR="000E5410" w:rsidRDefault="000E5410" w:rsidP="004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86993"/>
      <w:docPartObj>
        <w:docPartGallery w:val="Page Numbers (Bottom of Page)"/>
        <w:docPartUnique/>
      </w:docPartObj>
    </w:sdtPr>
    <w:sdtEndPr>
      <w:rPr>
        <w:noProof/>
      </w:rPr>
    </w:sdtEndPr>
    <w:sdtContent>
      <w:p w14:paraId="3969F472" w14:textId="77777777" w:rsidR="004F6A99" w:rsidRDefault="004F6A99">
        <w:pPr>
          <w:pStyle w:val="Footer"/>
          <w:jc w:val="center"/>
        </w:pPr>
        <w:r>
          <w:fldChar w:fldCharType="begin"/>
        </w:r>
        <w:r>
          <w:instrText xml:space="preserve"> PAGE   \* MERGEFORMAT </w:instrText>
        </w:r>
        <w:r>
          <w:fldChar w:fldCharType="separate"/>
        </w:r>
        <w:r w:rsidR="00E23059">
          <w:rPr>
            <w:noProof/>
          </w:rPr>
          <w:t>15</w:t>
        </w:r>
        <w:r>
          <w:rPr>
            <w:noProof/>
          </w:rPr>
          <w:fldChar w:fldCharType="end"/>
        </w:r>
      </w:p>
    </w:sdtContent>
  </w:sdt>
  <w:p w14:paraId="30D38C5C" w14:textId="77777777" w:rsidR="004F6A99" w:rsidRDefault="004F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1876" w14:textId="77777777" w:rsidR="000E5410" w:rsidRDefault="000E5410" w:rsidP="004F6A99">
      <w:pPr>
        <w:spacing w:after="0" w:line="240" w:lineRule="auto"/>
      </w:pPr>
      <w:r>
        <w:separator/>
      </w:r>
    </w:p>
  </w:footnote>
  <w:footnote w:type="continuationSeparator" w:id="0">
    <w:p w14:paraId="332F5CF0" w14:textId="77777777" w:rsidR="000E5410" w:rsidRDefault="000E5410" w:rsidP="004F6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A00"/>
    <w:multiLevelType w:val="hybridMultilevel"/>
    <w:tmpl w:val="3E92F5FA"/>
    <w:lvl w:ilvl="0" w:tplc="2612E3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40A1F"/>
    <w:multiLevelType w:val="hybridMultilevel"/>
    <w:tmpl w:val="C2861774"/>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25F17"/>
    <w:multiLevelType w:val="hybridMultilevel"/>
    <w:tmpl w:val="5BBA5484"/>
    <w:lvl w:ilvl="0" w:tplc="9048AE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1D1B2C"/>
    <w:multiLevelType w:val="hybridMultilevel"/>
    <w:tmpl w:val="263A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32EFE"/>
    <w:multiLevelType w:val="hybridMultilevel"/>
    <w:tmpl w:val="6FEE5FA2"/>
    <w:lvl w:ilvl="0" w:tplc="A23693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064E58"/>
    <w:multiLevelType w:val="hybridMultilevel"/>
    <w:tmpl w:val="DECE0F94"/>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351BC1"/>
    <w:multiLevelType w:val="hybridMultilevel"/>
    <w:tmpl w:val="D2D271CC"/>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E62D68"/>
    <w:multiLevelType w:val="hybridMultilevel"/>
    <w:tmpl w:val="9252E45C"/>
    <w:lvl w:ilvl="0" w:tplc="5386ADA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7D581F"/>
    <w:multiLevelType w:val="hybridMultilevel"/>
    <w:tmpl w:val="E5A80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16006"/>
    <w:multiLevelType w:val="hybridMultilevel"/>
    <w:tmpl w:val="DECE0F94"/>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DA0D73"/>
    <w:multiLevelType w:val="hybridMultilevel"/>
    <w:tmpl w:val="3A16C11C"/>
    <w:lvl w:ilvl="0" w:tplc="5386AD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917541"/>
    <w:multiLevelType w:val="hybridMultilevel"/>
    <w:tmpl w:val="DB5CEBC0"/>
    <w:lvl w:ilvl="0" w:tplc="E60CEAF6">
      <w:start w:val="1"/>
      <w:numFmt w:val="lowerRoman"/>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D52C6"/>
    <w:multiLevelType w:val="hybridMultilevel"/>
    <w:tmpl w:val="5A281DFE"/>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FE76B5"/>
    <w:multiLevelType w:val="hybridMultilevel"/>
    <w:tmpl w:val="08C83E2C"/>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6539FC"/>
    <w:multiLevelType w:val="hybridMultilevel"/>
    <w:tmpl w:val="8DAC8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36645"/>
    <w:multiLevelType w:val="hybridMultilevel"/>
    <w:tmpl w:val="21227A38"/>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852D37"/>
    <w:multiLevelType w:val="hybridMultilevel"/>
    <w:tmpl w:val="B9269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F068C"/>
    <w:multiLevelType w:val="hybridMultilevel"/>
    <w:tmpl w:val="97F0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B81AE5"/>
    <w:multiLevelType w:val="hybridMultilevel"/>
    <w:tmpl w:val="EB98C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D6391D"/>
    <w:multiLevelType w:val="hybridMultilevel"/>
    <w:tmpl w:val="972AC5D4"/>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AF2C30"/>
    <w:multiLevelType w:val="hybridMultilevel"/>
    <w:tmpl w:val="39CCC0C4"/>
    <w:lvl w:ilvl="0" w:tplc="5386AD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0314EA"/>
    <w:multiLevelType w:val="hybridMultilevel"/>
    <w:tmpl w:val="3698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4E0DFB"/>
    <w:multiLevelType w:val="hybridMultilevel"/>
    <w:tmpl w:val="C0401246"/>
    <w:lvl w:ilvl="0" w:tplc="1276A1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CD3D0F"/>
    <w:multiLevelType w:val="hybridMultilevel"/>
    <w:tmpl w:val="3386274A"/>
    <w:lvl w:ilvl="0" w:tplc="7B7A5F9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7C383B"/>
    <w:multiLevelType w:val="hybridMultilevel"/>
    <w:tmpl w:val="CA50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726848"/>
    <w:multiLevelType w:val="hybridMultilevel"/>
    <w:tmpl w:val="E6D6208C"/>
    <w:lvl w:ilvl="0" w:tplc="870685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51677C"/>
    <w:multiLevelType w:val="hybridMultilevel"/>
    <w:tmpl w:val="113EF02C"/>
    <w:lvl w:ilvl="0" w:tplc="80884964">
      <w:start w:val="1"/>
      <w:numFmt w:val="lowerRoman"/>
      <w:lvlText w:val="%1."/>
      <w:lvlJc w:val="left"/>
      <w:pPr>
        <w:ind w:left="1080" w:hanging="72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F80346"/>
    <w:multiLevelType w:val="hybridMultilevel"/>
    <w:tmpl w:val="75A0F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305231"/>
    <w:multiLevelType w:val="hybridMultilevel"/>
    <w:tmpl w:val="A412CB08"/>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A54657"/>
    <w:multiLevelType w:val="hybridMultilevel"/>
    <w:tmpl w:val="39CCC0C4"/>
    <w:lvl w:ilvl="0" w:tplc="5386AD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63421A"/>
    <w:multiLevelType w:val="hybridMultilevel"/>
    <w:tmpl w:val="53BA943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1" w15:restartNumberingAfterBreak="0">
    <w:nsid w:val="702506A9"/>
    <w:multiLevelType w:val="hybridMultilevel"/>
    <w:tmpl w:val="6E202FE0"/>
    <w:lvl w:ilvl="0" w:tplc="CAEAEB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8A2280"/>
    <w:multiLevelType w:val="hybridMultilevel"/>
    <w:tmpl w:val="9D52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673E6A"/>
    <w:multiLevelType w:val="hybridMultilevel"/>
    <w:tmpl w:val="4B94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FA39FF"/>
    <w:multiLevelType w:val="hybridMultilevel"/>
    <w:tmpl w:val="972AC5D4"/>
    <w:lvl w:ilvl="0" w:tplc="1570A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3"/>
  </w:num>
  <w:num w:numId="3">
    <w:abstractNumId w:val="4"/>
  </w:num>
  <w:num w:numId="4">
    <w:abstractNumId w:val="0"/>
  </w:num>
  <w:num w:numId="5">
    <w:abstractNumId w:val="25"/>
  </w:num>
  <w:num w:numId="6">
    <w:abstractNumId w:val="2"/>
  </w:num>
  <w:num w:numId="7">
    <w:abstractNumId w:val="34"/>
  </w:num>
  <w:num w:numId="8">
    <w:abstractNumId w:val="24"/>
  </w:num>
  <w:num w:numId="9">
    <w:abstractNumId w:val="19"/>
  </w:num>
  <w:num w:numId="10">
    <w:abstractNumId w:val="1"/>
  </w:num>
  <w:num w:numId="11">
    <w:abstractNumId w:val="6"/>
  </w:num>
  <w:num w:numId="12">
    <w:abstractNumId w:val="12"/>
  </w:num>
  <w:num w:numId="13">
    <w:abstractNumId w:val="15"/>
  </w:num>
  <w:num w:numId="14">
    <w:abstractNumId w:val="16"/>
  </w:num>
  <w:num w:numId="15">
    <w:abstractNumId w:val="21"/>
  </w:num>
  <w:num w:numId="16">
    <w:abstractNumId w:val="33"/>
  </w:num>
  <w:num w:numId="17">
    <w:abstractNumId w:val="13"/>
  </w:num>
  <w:num w:numId="18">
    <w:abstractNumId w:val="14"/>
  </w:num>
  <w:num w:numId="19">
    <w:abstractNumId w:val="27"/>
  </w:num>
  <w:num w:numId="20">
    <w:abstractNumId w:val="32"/>
  </w:num>
  <w:num w:numId="21">
    <w:abstractNumId w:val="18"/>
  </w:num>
  <w:num w:numId="22">
    <w:abstractNumId w:val="8"/>
  </w:num>
  <w:num w:numId="23">
    <w:abstractNumId w:val="17"/>
  </w:num>
  <w:num w:numId="24">
    <w:abstractNumId w:val="30"/>
  </w:num>
  <w:num w:numId="25">
    <w:abstractNumId w:val="11"/>
  </w:num>
  <w:num w:numId="26">
    <w:abstractNumId w:val="28"/>
  </w:num>
  <w:num w:numId="27">
    <w:abstractNumId w:val="5"/>
  </w:num>
  <w:num w:numId="28">
    <w:abstractNumId w:val="9"/>
  </w:num>
  <w:num w:numId="29">
    <w:abstractNumId w:val="22"/>
  </w:num>
  <w:num w:numId="30">
    <w:abstractNumId w:val="31"/>
  </w:num>
  <w:num w:numId="31">
    <w:abstractNumId w:val="10"/>
  </w:num>
  <w:num w:numId="32">
    <w:abstractNumId w:val="26"/>
  </w:num>
  <w:num w:numId="33">
    <w:abstractNumId w:val="20"/>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97"/>
    <w:rsid w:val="000020C8"/>
    <w:rsid w:val="000034CD"/>
    <w:rsid w:val="00012A90"/>
    <w:rsid w:val="00013865"/>
    <w:rsid w:val="00017BCB"/>
    <w:rsid w:val="0002211F"/>
    <w:rsid w:val="00030147"/>
    <w:rsid w:val="0003474E"/>
    <w:rsid w:val="000406CC"/>
    <w:rsid w:val="00043127"/>
    <w:rsid w:val="000657C1"/>
    <w:rsid w:val="000712EE"/>
    <w:rsid w:val="00090364"/>
    <w:rsid w:val="00092A1D"/>
    <w:rsid w:val="000963A7"/>
    <w:rsid w:val="00097CFD"/>
    <w:rsid w:val="000B17AE"/>
    <w:rsid w:val="000B1E57"/>
    <w:rsid w:val="000B24D1"/>
    <w:rsid w:val="000C1C99"/>
    <w:rsid w:val="000C4A0C"/>
    <w:rsid w:val="000C5A27"/>
    <w:rsid w:val="000E012E"/>
    <w:rsid w:val="000E1F8E"/>
    <w:rsid w:val="000E42CA"/>
    <w:rsid w:val="000E5410"/>
    <w:rsid w:val="00103C05"/>
    <w:rsid w:val="00104333"/>
    <w:rsid w:val="0011149D"/>
    <w:rsid w:val="00121C35"/>
    <w:rsid w:val="00123667"/>
    <w:rsid w:val="001314ED"/>
    <w:rsid w:val="0013548B"/>
    <w:rsid w:val="00136044"/>
    <w:rsid w:val="00141023"/>
    <w:rsid w:val="001560DF"/>
    <w:rsid w:val="001567FB"/>
    <w:rsid w:val="00181D88"/>
    <w:rsid w:val="001829BD"/>
    <w:rsid w:val="00190D3A"/>
    <w:rsid w:val="001A2E89"/>
    <w:rsid w:val="001A6B40"/>
    <w:rsid w:val="001A6EF8"/>
    <w:rsid w:val="001B2236"/>
    <w:rsid w:val="001C6E02"/>
    <w:rsid w:val="001D1FA5"/>
    <w:rsid w:val="001D2C48"/>
    <w:rsid w:val="001D4EEE"/>
    <w:rsid w:val="001E57E0"/>
    <w:rsid w:val="001F0CD2"/>
    <w:rsid w:val="001F2A76"/>
    <w:rsid w:val="001F73D3"/>
    <w:rsid w:val="00202BE7"/>
    <w:rsid w:val="0021077D"/>
    <w:rsid w:val="0022650B"/>
    <w:rsid w:val="002316B0"/>
    <w:rsid w:val="0024124A"/>
    <w:rsid w:val="00252C0D"/>
    <w:rsid w:val="00272B32"/>
    <w:rsid w:val="00282E29"/>
    <w:rsid w:val="0029139C"/>
    <w:rsid w:val="00297F89"/>
    <w:rsid w:val="002A0AF7"/>
    <w:rsid w:val="002B231B"/>
    <w:rsid w:val="002B3C3A"/>
    <w:rsid w:val="002B5FF1"/>
    <w:rsid w:val="002D1F6D"/>
    <w:rsid w:val="002E0C7B"/>
    <w:rsid w:val="002E0DC2"/>
    <w:rsid w:val="002F1FED"/>
    <w:rsid w:val="00314167"/>
    <w:rsid w:val="003165E6"/>
    <w:rsid w:val="003279EC"/>
    <w:rsid w:val="0033300E"/>
    <w:rsid w:val="00340AE3"/>
    <w:rsid w:val="00340CE8"/>
    <w:rsid w:val="00342D09"/>
    <w:rsid w:val="003528AF"/>
    <w:rsid w:val="0035384D"/>
    <w:rsid w:val="00356E8A"/>
    <w:rsid w:val="00357723"/>
    <w:rsid w:val="003751CF"/>
    <w:rsid w:val="0038052F"/>
    <w:rsid w:val="00383955"/>
    <w:rsid w:val="003A206E"/>
    <w:rsid w:val="003A2238"/>
    <w:rsid w:val="003A668E"/>
    <w:rsid w:val="003B63BC"/>
    <w:rsid w:val="003C17C3"/>
    <w:rsid w:val="003C4E2A"/>
    <w:rsid w:val="003C52D7"/>
    <w:rsid w:val="003D3E57"/>
    <w:rsid w:val="003E07FC"/>
    <w:rsid w:val="003E229B"/>
    <w:rsid w:val="003E7716"/>
    <w:rsid w:val="003E7D7B"/>
    <w:rsid w:val="00405D5D"/>
    <w:rsid w:val="00406BDB"/>
    <w:rsid w:val="00411541"/>
    <w:rsid w:val="004139EF"/>
    <w:rsid w:val="0041578C"/>
    <w:rsid w:val="00417401"/>
    <w:rsid w:val="0042100A"/>
    <w:rsid w:val="00423B10"/>
    <w:rsid w:val="00427B0C"/>
    <w:rsid w:val="00430629"/>
    <w:rsid w:val="00441517"/>
    <w:rsid w:val="0044566C"/>
    <w:rsid w:val="0045141B"/>
    <w:rsid w:val="00454958"/>
    <w:rsid w:val="00464337"/>
    <w:rsid w:val="00474F6F"/>
    <w:rsid w:val="004823F4"/>
    <w:rsid w:val="0048386A"/>
    <w:rsid w:val="0048506E"/>
    <w:rsid w:val="0048580E"/>
    <w:rsid w:val="004A53AD"/>
    <w:rsid w:val="004A590D"/>
    <w:rsid w:val="004B66B1"/>
    <w:rsid w:val="004B67B8"/>
    <w:rsid w:val="004C0DAA"/>
    <w:rsid w:val="004D00D1"/>
    <w:rsid w:val="004D5DC5"/>
    <w:rsid w:val="004E5088"/>
    <w:rsid w:val="004F6A99"/>
    <w:rsid w:val="004F6AFC"/>
    <w:rsid w:val="004F7635"/>
    <w:rsid w:val="005004B7"/>
    <w:rsid w:val="0051168C"/>
    <w:rsid w:val="00514E83"/>
    <w:rsid w:val="005222B0"/>
    <w:rsid w:val="005262DE"/>
    <w:rsid w:val="005267DD"/>
    <w:rsid w:val="00530138"/>
    <w:rsid w:val="0053079C"/>
    <w:rsid w:val="0053293F"/>
    <w:rsid w:val="00533B14"/>
    <w:rsid w:val="00551C66"/>
    <w:rsid w:val="00561EDE"/>
    <w:rsid w:val="00565921"/>
    <w:rsid w:val="00571F48"/>
    <w:rsid w:val="0058292C"/>
    <w:rsid w:val="00585E9D"/>
    <w:rsid w:val="005867A1"/>
    <w:rsid w:val="0058792A"/>
    <w:rsid w:val="005920F1"/>
    <w:rsid w:val="00592AD5"/>
    <w:rsid w:val="005A39D1"/>
    <w:rsid w:val="005C1220"/>
    <w:rsid w:val="005C4374"/>
    <w:rsid w:val="005D43EA"/>
    <w:rsid w:val="005D597B"/>
    <w:rsid w:val="005D5A31"/>
    <w:rsid w:val="005D5CBD"/>
    <w:rsid w:val="005E6827"/>
    <w:rsid w:val="005E696E"/>
    <w:rsid w:val="005E6A03"/>
    <w:rsid w:val="005E7451"/>
    <w:rsid w:val="006028A4"/>
    <w:rsid w:val="00604F43"/>
    <w:rsid w:val="00606FA3"/>
    <w:rsid w:val="006075A4"/>
    <w:rsid w:val="00616FB7"/>
    <w:rsid w:val="00621E34"/>
    <w:rsid w:val="00640802"/>
    <w:rsid w:val="0065072E"/>
    <w:rsid w:val="00651772"/>
    <w:rsid w:val="0065231A"/>
    <w:rsid w:val="0065322D"/>
    <w:rsid w:val="00682E48"/>
    <w:rsid w:val="00683EAF"/>
    <w:rsid w:val="00683F57"/>
    <w:rsid w:val="0069175C"/>
    <w:rsid w:val="006A0BD6"/>
    <w:rsid w:val="006A740F"/>
    <w:rsid w:val="006B10B6"/>
    <w:rsid w:val="006C0407"/>
    <w:rsid w:val="006C0FED"/>
    <w:rsid w:val="006D0BB9"/>
    <w:rsid w:val="006E112C"/>
    <w:rsid w:val="006F14FB"/>
    <w:rsid w:val="006F163C"/>
    <w:rsid w:val="007015F2"/>
    <w:rsid w:val="00704978"/>
    <w:rsid w:val="00721B11"/>
    <w:rsid w:val="00734A38"/>
    <w:rsid w:val="00763D0C"/>
    <w:rsid w:val="007667E6"/>
    <w:rsid w:val="00771049"/>
    <w:rsid w:val="007767F7"/>
    <w:rsid w:val="00780357"/>
    <w:rsid w:val="0078170A"/>
    <w:rsid w:val="007825A6"/>
    <w:rsid w:val="00785F2D"/>
    <w:rsid w:val="00786F71"/>
    <w:rsid w:val="007962B8"/>
    <w:rsid w:val="007A668A"/>
    <w:rsid w:val="007A6943"/>
    <w:rsid w:val="007A7DD6"/>
    <w:rsid w:val="007C192F"/>
    <w:rsid w:val="007E28D6"/>
    <w:rsid w:val="007E38F2"/>
    <w:rsid w:val="007E3EBB"/>
    <w:rsid w:val="007F42D2"/>
    <w:rsid w:val="007F7626"/>
    <w:rsid w:val="008018D4"/>
    <w:rsid w:val="00806827"/>
    <w:rsid w:val="00813EC1"/>
    <w:rsid w:val="00822A0F"/>
    <w:rsid w:val="00824139"/>
    <w:rsid w:val="008318B1"/>
    <w:rsid w:val="00833B9F"/>
    <w:rsid w:val="0083638B"/>
    <w:rsid w:val="008454EB"/>
    <w:rsid w:val="00852CCC"/>
    <w:rsid w:val="00853F85"/>
    <w:rsid w:val="008559B3"/>
    <w:rsid w:val="00856002"/>
    <w:rsid w:val="00856D49"/>
    <w:rsid w:val="008656B2"/>
    <w:rsid w:val="00865B2F"/>
    <w:rsid w:val="008730C9"/>
    <w:rsid w:val="00877936"/>
    <w:rsid w:val="008821BD"/>
    <w:rsid w:val="00884C47"/>
    <w:rsid w:val="008873F0"/>
    <w:rsid w:val="008915FE"/>
    <w:rsid w:val="008936C8"/>
    <w:rsid w:val="008A4AB4"/>
    <w:rsid w:val="008C41D4"/>
    <w:rsid w:val="008C480A"/>
    <w:rsid w:val="008C50A0"/>
    <w:rsid w:val="008C694C"/>
    <w:rsid w:val="008C7597"/>
    <w:rsid w:val="008D0092"/>
    <w:rsid w:val="008D5795"/>
    <w:rsid w:val="008D640A"/>
    <w:rsid w:val="008E36B2"/>
    <w:rsid w:val="008E7D2B"/>
    <w:rsid w:val="00906D41"/>
    <w:rsid w:val="00916B32"/>
    <w:rsid w:val="009176D7"/>
    <w:rsid w:val="009225DA"/>
    <w:rsid w:val="00930E99"/>
    <w:rsid w:val="0093692D"/>
    <w:rsid w:val="0094051F"/>
    <w:rsid w:val="009469BA"/>
    <w:rsid w:val="00952482"/>
    <w:rsid w:val="00957A49"/>
    <w:rsid w:val="009637D8"/>
    <w:rsid w:val="0096508F"/>
    <w:rsid w:val="00966988"/>
    <w:rsid w:val="0097369C"/>
    <w:rsid w:val="0097679A"/>
    <w:rsid w:val="009841E4"/>
    <w:rsid w:val="00990994"/>
    <w:rsid w:val="0099344B"/>
    <w:rsid w:val="00995ED0"/>
    <w:rsid w:val="009A5485"/>
    <w:rsid w:val="009A7736"/>
    <w:rsid w:val="009A7B3F"/>
    <w:rsid w:val="009B0AA3"/>
    <w:rsid w:val="009B5825"/>
    <w:rsid w:val="009B6F00"/>
    <w:rsid w:val="009B71DB"/>
    <w:rsid w:val="009D52B8"/>
    <w:rsid w:val="009D6D70"/>
    <w:rsid w:val="009E08D3"/>
    <w:rsid w:val="009E2035"/>
    <w:rsid w:val="009F068B"/>
    <w:rsid w:val="009F6DA7"/>
    <w:rsid w:val="00A06E9B"/>
    <w:rsid w:val="00A11B36"/>
    <w:rsid w:val="00A163C7"/>
    <w:rsid w:val="00A200C6"/>
    <w:rsid w:val="00A20E6E"/>
    <w:rsid w:val="00A220C5"/>
    <w:rsid w:val="00A25B76"/>
    <w:rsid w:val="00A370F7"/>
    <w:rsid w:val="00A37499"/>
    <w:rsid w:val="00A37519"/>
    <w:rsid w:val="00A41B31"/>
    <w:rsid w:val="00A4369E"/>
    <w:rsid w:val="00A43ACD"/>
    <w:rsid w:val="00A4499D"/>
    <w:rsid w:val="00A4640C"/>
    <w:rsid w:val="00A61370"/>
    <w:rsid w:val="00A635C2"/>
    <w:rsid w:val="00A810D9"/>
    <w:rsid w:val="00A94052"/>
    <w:rsid w:val="00A96D89"/>
    <w:rsid w:val="00AB221F"/>
    <w:rsid w:val="00AB3B83"/>
    <w:rsid w:val="00AC2234"/>
    <w:rsid w:val="00AC256C"/>
    <w:rsid w:val="00AC5153"/>
    <w:rsid w:val="00AC740E"/>
    <w:rsid w:val="00AD26C4"/>
    <w:rsid w:val="00AE0E50"/>
    <w:rsid w:val="00AE4B36"/>
    <w:rsid w:val="00AE4C66"/>
    <w:rsid w:val="00AF5DFC"/>
    <w:rsid w:val="00AF70BB"/>
    <w:rsid w:val="00B03810"/>
    <w:rsid w:val="00B051DA"/>
    <w:rsid w:val="00B21DA5"/>
    <w:rsid w:val="00B27ABB"/>
    <w:rsid w:val="00B31012"/>
    <w:rsid w:val="00B3351B"/>
    <w:rsid w:val="00B43857"/>
    <w:rsid w:val="00B44197"/>
    <w:rsid w:val="00B46796"/>
    <w:rsid w:val="00B54B65"/>
    <w:rsid w:val="00B62DEF"/>
    <w:rsid w:val="00B638F4"/>
    <w:rsid w:val="00B9177B"/>
    <w:rsid w:val="00B97753"/>
    <w:rsid w:val="00BB0B35"/>
    <w:rsid w:val="00BC2FA7"/>
    <w:rsid w:val="00BD5F7F"/>
    <w:rsid w:val="00BD7240"/>
    <w:rsid w:val="00BE6510"/>
    <w:rsid w:val="00BE6AC5"/>
    <w:rsid w:val="00C0341F"/>
    <w:rsid w:val="00C07EC5"/>
    <w:rsid w:val="00C13DB1"/>
    <w:rsid w:val="00C16493"/>
    <w:rsid w:val="00C31F13"/>
    <w:rsid w:val="00C450D5"/>
    <w:rsid w:val="00C478B0"/>
    <w:rsid w:val="00C518B6"/>
    <w:rsid w:val="00C57954"/>
    <w:rsid w:val="00C80265"/>
    <w:rsid w:val="00C8388E"/>
    <w:rsid w:val="00C90EBF"/>
    <w:rsid w:val="00C9510A"/>
    <w:rsid w:val="00C95D40"/>
    <w:rsid w:val="00C963C5"/>
    <w:rsid w:val="00CB3E43"/>
    <w:rsid w:val="00CB59BB"/>
    <w:rsid w:val="00CC0C93"/>
    <w:rsid w:val="00CD2217"/>
    <w:rsid w:val="00CD2E10"/>
    <w:rsid w:val="00CD754F"/>
    <w:rsid w:val="00CF0513"/>
    <w:rsid w:val="00CF262D"/>
    <w:rsid w:val="00CF2EF8"/>
    <w:rsid w:val="00D06C8D"/>
    <w:rsid w:val="00D10C73"/>
    <w:rsid w:val="00D112F7"/>
    <w:rsid w:val="00D118EC"/>
    <w:rsid w:val="00D159BF"/>
    <w:rsid w:val="00D25E69"/>
    <w:rsid w:val="00D264A1"/>
    <w:rsid w:val="00D372B0"/>
    <w:rsid w:val="00D42018"/>
    <w:rsid w:val="00D44788"/>
    <w:rsid w:val="00D44FF6"/>
    <w:rsid w:val="00D471A5"/>
    <w:rsid w:val="00D53827"/>
    <w:rsid w:val="00D7273D"/>
    <w:rsid w:val="00D72885"/>
    <w:rsid w:val="00D965F1"/>
    <w:rsid w:val="00D97250"/>
    <w:rsid w:val="00DA2C56"/>
    <w:rsid w:val="00DA342D"/>
    <w:rsid w:val="00DA3B37"/>
    <w:rsid w:val="00DB2052"/>
    <w:rsid w:val="00DB3EE6"/>
    <w:rsid w:val="00DC7BA5"/>
    <w:rsid w:val="00DD4E8C"/>
    <w:rsid w:val="00DE1486"/>
    <w:rsid w:val="00DE1EE9"/>
    <w:rsid w:val="00DF0AC7"/>
    <w:rsid w:val="00DF1E0C"/>
    <w:rsid w:val="00DF2F18"/>
    <w:rsid w:val="00DF361F"/>
    <w:rsid w:val="00DF50BD"/>
    <w:rsid w:val="00E033EF"/>
    <w:rsid w:val="00E10EFB"/>
    <w:rsid w:val="00E218B3"/>
    <w:rsid w:val="00E23059"/>
    <w:rsid w:val="00E24366"/>
    <w:rsid w:val="00E3016E"/>
    <w:rsid w:val="00E3049E"/>
    <w:rsid w:val="00E349FA"/>
    <w:rsid w:val="00E37690"/>
    <w:rsid w:val="00E75908"/>
    <w:rsid w:val="00E853B2"/>
    <w:rsid w:val="00E8540D"/>
    <w:rsid w:val="00E92DA2"/>
    <w:rsid w:val="00E97AA8"/>
    <w:rsid w:val="00EA186B"/>
    <w:rsid w:val="00EA3F58"/>
    <w:rsid w:val="00EB0792"/>
    <w:rsid w:val="00ED4261"/>
    <w:rsid w:val="00ED7B83"/>
    <w:rsid w:val="00EE199F"/>
    <w:rsid w:val="00EF18A2"/>
    <w:rsid w:val="00F00B51"/>
    <w:rsid w:val="00F157D5"/>
    <w:rsid w:val="00F21E09"/>
    <w:rsid w:val="00F26765"/>
    <w:rsid w:val="00F312B3"/>
    <w:rsid w:val="00F32520"/>
    <w:rsid w:val="00F36C13"/>
    <w:rsid w:val="00F42616"/>
    <w:rsid w:val="00F44B95"/>
    <w:rsid w:val="00F50676"/>
    <w:rsid w:val="00F5154E"/>
    <w:rsid w:val="00F60645"/>
    <w:rsid w:val="00F61F1D"/>
    <w:rsid w:val="00F67BE1"/>
    <w:rsid w:val="00F74143"/>
    <w:rsid w:val="00F81789"/>
    <w:rsid w:val="00F842CB"/>
    <w:rsid w:val="00F93C51"/>
    <w:rsid w:val="00F96280"/>
    <w:rsid w:val="00FA0937"/>
    <w:rsid w:val="00FA49CB"/>
    <w:rsid w:val="00FA4EA4"/>
    <w:rsid w:val="00FB02B2"/>
    <w:rsid w:val="00FC41B0"/>
    <w:rsid w:val="00FC42A9"/>
    <w:rsid w:val="00FC5827"/>
    <w:rsid w:val="00FD45BB"/>
    <w:rsid w:val="00FE07A9"/>
    <w:rsid w:val="00FE5D9C"/>
    <w:rsid w:val="00FF137A"/>
    <w:rsid w:val="00FF138F"/>
    <w:rsid w:val="00FF4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47D1"/>
  <w15:chartTrackingRefBased/>
  <w15:docId w15:val="{5F64807B-3C3A-4AC9-B7D1-B358E68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D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1E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76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表格样式"/>
    <w:basedOn w:val="TableNormal"/>
    <w:uiPriority w:val="39"/>
    <w:rsid w:val="00B44197"/>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6E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E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57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004B7"/>
    <w:pPr>
      <w:outlineLvl w:val="9"/>
    </w:pPr>
    <w:rPr>
      <w:lang w:val="en-US"/>
    </w:rPr>
  </w:style>
  <w:style w:type="paragraph" w:styleId="TOC1">
    <w:name w:val="toc 1"/>
    <w:basedOn w:val="Normal"/>
    <w:next w:val="Normal"/>
    <w:autoRedefine/>
    <w:uiPriority w:val="39"/>
    <w:unhideWhenUsed/>
    <w:rsid w:val="005004B7"/>
    <w:pPr>
      <w:spacing w:after="100"/>
    </w:pPr>
  </w:style>
  <w:style w:type="character" w:styleId="Hyperlink">
    <w:name w:val="Hyperlink"/>
    <w:basedOn w:val="DefaultParagraphFont"/>
    <w:uiPriority w:val="99"/>
    <w:unhideWhenUsed/>
    <w:rsid w:val="005004B7"/>
    <w:rPr>
      <w:color w:val="0563C1" w:themeColor="hyperlink"/>
      <w:u w:val="single"/>
    </w:rPr>
  </w:style>
  <w:style w:type="character" w:customStyle="1" w:styleId="Heading2Char">
    <w:name w:val="Heading 2 Char"/>
    <w:basedOn w:val="DefaultParagraphFont"/>
    <w:link w:val="Heading2"/>
    <w:uiPriority w:val="9"/>
    <w:rsid w:val="004D5D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1E3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6827"/>
    <w:pPr>
      <w:ind w:left="720"/>
      <w:contextualSpacing/>
    </w:pPr>
  </w:style>
  <w:style w:type="paragraph" w:styleId="TOC2">
    <w:name w:val="toc 2"/>
    <w:basedOn w:val="Normal"/>
    <w:next w:val="Normal"/>
    <w:autoRedefine/>
    <w:uiPriority w:val="39"/>
    <w:unhideWhenUsed/>
    <w:rsid w:val="0097369C"/>
    <w:pPr>
      <w:spacing w:after="100"/>
      <w:ind w:left="220"/>
    </w:pPr>
  </w:style>
  <w:style w:type="paragraph" w:styleId="TOC3">
    <w:name w:val="toc 3"/>
    <w:basedOn w:val="Normal"/>
    <w:next w:val="Normal"/>
    <w:autoRedefine/>
    <w:uiPriority w:val="39"/>
    <w:unhideWhenUsed/>
    <w:rsid w:val="0097369C"/>
    <w:pPr>
      <w:spacing w:after="100"/>
      <w:ind w:left="440"/>
    </w:pPr>
  </w:style>
  <w:style w:type="character" w:customStyle="1" w:styleId="Heading4Char">
    <w:name w:val="Heading 4 Char"/>
    <w:basedOn w:val="DefaultParagraphFont"/>
    <w:link w:val="Heading4"/>
    <w:uiPriority w:val="9"/>
    <w:rsid w:val="007F762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E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2C"/>
    <w:rPr>
      <w:rFonts w:ascii="Segoe UI" w:hAnsi="Segoe UI" w:cs="Segoe UI"/>
      <w:sz w:val="18"/>
      <w:szCs w:val="18"/>
    </w:rPr>
  </w:style>
  <w:style w:type="paragraph" w:styleId="Header">
    <w:name w:val="header"/>
    <w:basedOn w:val="Normal"/>
    <w:link w:val="HeaderChar"/>
    <w:uiPriority w:val="99"/>
    <w:unhideWhenUsed/>
    <w:rsid w:val="004F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A99"/>
  </w:style>
  <w:style w:type="paragraph" w:styleId="Footer">
    <w:name w:val="footer"/>
    <w:basedOn w:val="Normal"/>
    <w:link w:val="FooterChar"/>
    <w:uiPriority w:val="99"/>
    <w:unhideWhenUsed/>
    <w:rsid w:val="004F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A99"/>
  </w:style>
  <w:style w:type="character" w:styleId="FollowedHyperlink">
    <w:name w:val="FollowedHyperlink"/>
    <w:basedOn w:val="DefaultParagraphFont"/>
    <w:uiPriority w:val="99"/>
    <w:semiHidden/>
    <w:unhideWhenUsed/>
    <w:rsid w:val="00430629"/>
    <w:rPr>
      <w:color w:val="954F72" w:themeColor="followedHyperlink"/>
      <w:u w:val="single"/>
    </w:rPr>
  </w:style>
  <w:style w:type="character" w:styleId="UnresolvedMention">
    <w:name w:val="Unresolved Mention"/>
    <w:basedOn w:val="DefaultParagraphFont"/>
    <w:uiPriority w:val="99"/>
    <w:semiHidden/>
    <w:unhideWhenUsed/>
    <w:rsid w:val="00FE07A9"/>
    <w:rPr>
      <w:color w:val="605E5C"/>
      <w:shd w:val="clear" w:color="auto" w:fill="E1DFDD"/>
    </w:rPr>
  </w:style>
  <w:style w:type="paragraph" w:styleId="NoSpacing">
    <w:name w:val="No Spacing"/>
    <w:uiPriority w:val="1"/>
    <w:qFormat/>
    <w:rsid w:val="00511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926">
      <w:bodyDiv w:val="1"/>
      <w:marLeft w:val="0"/>
      <w:marRight w:val="0"/>
      <w:marTop w:val="0"/>
      <w:marBottom w:val="0"/>
      <w:divBdr>
        <w:top w:val="none" w:sz="0" w:space="0" w:color="auto"/>
        <w:left w:val="none" w:sz="0" w:space="0" w:color="auto"/>
        <w:bottom w:val="none" w:sz="0" w:space="0" w:color="auto"/>
        <w:right w:val="none" w:sz="0" w:space="0" w:color="auto"/>
      </w:divBdr>
    </w:div>
    <w:div w:id="286855328">
      <w:bodyDiv w:val="1"/>
      <w:marLeft w:val="0"/>
      <w:marRight w:val="0"/>
      <w:marTop w:val="0"/>
      <w:marBottom w:val="0"/>
      <w:divBdr>
        <w:top w:val="none" w:sz="0" w:space="0" w:color="auto"/>
        <w:left w:val="none" w:sz="0" w:space="0" w:color="auto"/>
        <w:bottom w:val="none" w:sz="0" w:space="0" w:color="auto"/>
        <w:right w:val="none" w:sz="0" w:space="0" w:color="auto"/>
      </w:divBdr>
    </w:div>
    <w:div w:id="296422701">
      <w:bodyDiv w:val="1"/>
      <w:marLeft w:val="0"/>
      <w:marRight w:val="0"/>
      <w:marTop w:val="0"/>
      <w:marBottom w:val="0"/>
      <w:divBdr>
        <w:top w:val="none" w:sz="0" w:space="0" w:color="auto"/>
        <w:left w:val="none" w:sz="0" w:space="0" w:color="auto"/>
        <w:bottom w:val="none" w:sz="0" w:space="0" w:color="auto"/>
        <w:right w:val="none" w:sz="0" w:space="0" w:color="auto"/>
      </w:divBdr>
    </w:div>
    <w:div w:id="311567582">
      <w:bodyDiv w:val="1"/>
      <w:marLeft w:val="0"/>
      <w:marRight w:val="0"/>
      <w:marTop w:val="0"/>
      <w:marBottom w:val="0"/>
      <w:divBdr>
        <w:top w:val="none" w:sz="0" w:space="0" w:color="auto"/>
        <w:left w:val="none" w:sz="0" w:space="0" w:color="auto"/>
        <w:bottom w:val="none" w:sz="0" w:space="0" w:color="auto"/>
        <w:right w:val="none" w:sz="0" w:space="0" w:color="auto"/>
      </w:divBdr>
    </w:div>
    <w:div w:id="392966217">
      <w:bodyDiv w:val="1"/>
      <w:marLeft w:val="0"/>
      <w:marRight w:val="0"/>
      <w:marTop w:val="0"/>
      <w:marBottom w:val="0"/>
      <w:divBdr>
        <w:top w:val="none" w:sz="0" w:space="0" w:color="auto"/>
        <w:left w:val="none" w:sz="0" w:space="0" w:color="auto"/>
        <w:bottom w:val="none" w:sz="0" w:space="0" w:color="auto"/>
        <w:right w:val="none" w:sz="0" w:space="0" w:color="auto"/>
      </w:divBdr>
    </w:div>
    <w:div w:id="574320757">
      <w:bodyDiv w:val="1"/>
      <w:marLeft w:val="0"/>
      <w:marRight w:val="0"/>
      <w:marTop w:val="0"/>
      <w:marBottom w:val="0"/>
      <w:divBdr>
        <w:top w:val="none" w:sz="0" w:space="0" w:color="auto"/>
        <w:left w:val="none" w:sz="0" w:space="0" w:color="auto"/>
        <w:bottom w:val="none" w:sz="0" w:space="0" w:color="auto"/>
        <w:right w:val="none" w:sz="0" w:space="0" w:color="auto"/>
      </w:divBdr>
    </w:div>
    <w:div w:id="670377781">
      <w:bodyDiv w:val="1"/>
      <w:marLeft w:val="0"/>
      <w:marRight w:val="0"/>
      <w:marTop w:val="0"/>
      <w:marBottom w:val="0"/>
      <w:divBdr>
        <w:top w:val="none" w:sz="0" w:space="0" w:color="auto"/>
        <w:left w:val="none" w:sz="0" w:space="0" w:color="auto"/>
        <w:bottom w:val="none" w:sz="0" w:space="0" w:color="auto"/>
        <w:right w:val="none" w:sz="0" w:space="0" w:color="auto"/>
      </w:divBdr>
    </w:div>
    <w:div w:id="1000308611">
      <w:bodyDiv w:val="1"/>
      <w:marLeft w:val="0"/>
      <w:marRight w:val="0"/>
      <w:marTop w:val="0"/>
      <w:marBottom w:val="0"/>
      <w:divBdr>
        <w:top w:val="none" w:sz="0" w:space="0" w:color="auto"/>
        <w:left w:val="none" w:sz="0" w:space="0" w:color="auto"/>
        <w:bottom w:val="none" w:sz="0" w:space="0" w:color="auto"/>
        <w:right w:val="none" w:sz="0" w:space="0" w:color="auto"/>
      </w:divBdr>
    </w:div>
    <w:div w:id="1105803747">
      <w:bodyDiv w:val="1"/>
      <w:marLeft w:val="0"/>
      <w:marRight w:val="0"/>
      <w:marTop w:val="0"/>
      <w:marBottom w:val="0"/>
      <w:divBdr>
        <w:top w:val="none" w:sz="0" w:space="0" w:color="auto"/>
        <w:left w:val="none" w:sz="0" w:space="0" w:color="auto"/>
        <w:bottom w:val="none" w:sz="0" w:space="0" w:color="auto"/>
        <w:right w:val="none" w:sz="0" w:space="0" w:color="auto"/>
      </w:divBdr>
    </w:div>
    <w:div w:id="1415862773">
      <w:bodyDiv w:val="1"/>
      <w:marLeft w:val="0"/>
      <w:marRight w:val="0"/>
      <w:marTop w:val="0"/>
      <w:marBottom w:val="0"/>
      <w:divBdr>
        <w:top w:val="none" w:sz="0" w:space="0" w:color="auto"/>
        <w:left w:val="none" w:sz="0" w:space="0" w:color="auto"/>
        <w:bottom w:val="none" w:sz="0" w:space="0" w:color="auto"/>
        <w:right w:val="none" w:sz="0" w:space="0" w:color="auto"/>
      </w:divBdr>
    </w:div>
    <w:div w:id="1570994578">
      <w:bodyDiv w:val="1"/>
      <w:marLeft w:val="0"/>
      <w:marRight w:val="0"/>
      <w:marTop w:val="0"/>
      <w:marBottom w:val="0"/>
      <w:divBdr>
        <w:top w:val="none" w:sz="0" w:space="0" w:color="auto"/>
        <w:left w:val="none" w:sz="0" w:space="0" w:color="auto"/>
        <w:bottom w:val="none" w:sz="0" w:space="0" w:color="auto"/>
        <w:right w:val="none" w:sz="0" w:space="0" w:color="auto"/>
      </w:divBdr>
    </w:div>
    <w:div w:id="1696540134">
      <w:bodyDiv w:val="1"/>
      <w:marLeft w:val="0"/>
      <w:marRight w:val="0"/>
      <w:marTop w:val="0"/>
      <w:marBottom w:val="0"/>
      <w:divBdr>
        <w:top w:val="none" w:sz="0" w:space="0" w:color="auto"/>
        <w:left w:val="none" w:sz="0" w:space="0" w:color="auto"/>
        <w:bottom w:val="none" w:sz="0" w:space="0" w:color="auto"/>
        <w:right w:val="none" w:sz="0" w:space="0" w:color="auto"/>
      </w:divBdr>
    </w:div>
    <w:div w:id="18965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ccloud-my.sharepoint.com/:x:/g/personal/michaels_spc_int/Ec5oFFEFXP1GnFlYX8mwng8BMMsJYFYCROrrGfz7NSQtCQ?e=paKx4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8CCA-2516-4251-9E7A-6C6B96DA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Sharp</dc:creator>
  <cp:keywords/>
  <dc:description/>
  <cp:lastModifiedBy>Gaëlle Le Gall</cp:lastModifiedBy>
  <cp:revision>2</cp:revision>
  <dcterms:created xsi:type="dcterms:W3CDTF">2022-04-14T02:23:00Z</dcterms:created>
  <dcterms:modified xsi:type="dcterms:W3CDTF">2022-04-14T02:23:00Z</dcterms:modified>
</cp:coreProperties>
</file>