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BA1" w:rsidRPr="00C449D2" w:rsidRDefault="00C449D2" w:rsidP="00C449D2">
      <w:pPr>
        <w:pStyle w:val="NoSpacing"/>
        <w:jc w:val="right"/>
        <w:rPr>
          <w:rFonts w:ascii="Times New Roman" w:hAnsi="Times New Roman" w:cs="Times New Roman"/>
        </w:rPr>
      </w:pPr>
      <w:r w:rsidRPr="00C449D2">
        <w:rPr>
          <w:rFonts w:ascii="Times New Roman" w:hAnsi="Times New Roman" w:cs="Times New Roman"/>
        </w:rPr>
        <w:t xml:space="preserve">Pacific 2020 Census Round Planning Meeting/Working Paper </w:t>
      </w:r>
      <w:proofErr w:type="spellStart"/>
      <w:r w:rsidR="00BE7F41">
        <w:rPr>
          <w:rFonts w:ascii="Times New Roman" w:hAnsi="Times New Roman" w:cs="Times New Roman"/>
        </w:rPr>
        <w:t>4bi</w:t>
      </w:r>
      <w:proofErr w:type="spellEnd"/>
    </w:p>
    <w:p w:rsidR="00C449D2" w:rsidRPr="00C449D2" w:rsidRDefault="00BE7F41" w:rsidP="00C449D2">
      <w:pPr>
        <w:pStyle w:val="NoSpacing"/>
        <w:jc w:val="right"/>
        <w:rPr>
          <w:rFonts w:ascii="Times New Roman" w:hAnsi="Times New Roman" w:cs="Times New Roman"/>
        </w:rPr>
      </w:pPr>
      <w:r>
        <w:rPr>
          <w:rFonts w:ascii="Times New Roman" w:hAnsi="Times New Roman" w:cs="Times New Roman"/>
        </w:rPr>
        <w:t>21</w:t>
      </w:r>
      <w:r w:rsidR="00C449D2" w:rsidRPr="00C449D2">
        <w:rPr>
          <w:rFonts w:ascii="Times New Roman" w:hAnsi="Times New Roman" w:cs="Times New Roman"/>
        </w:rPr>
        <w:t xml:space="preserve"> July 2015</w:t>
      </w:r>
    </w:p>
    <w:p w:rsidR="00C449D2" w:rsidRPr="00C449D2" w:rsidRDefault="00C449D2" w:rsidP="00C449D2">
      <w:pPr>
        <w:pStyle w:val="NoSpacing"/>
        <w:jc w:val="right"/>
        <w:rPr>
          <w:rFonts w:ascii="Times New Roman" w:hAnsi="Times New Roman" w:cs="Times New Roman"/>
        </w:rPr>
      </w:pPr>
    </w:p>
    <w:p w:rsidR="00C449D2" w:rsidRPr="00C449D2" w:rsidRDefault="00C449D2" w:rsidP="00C449D2">
      <w:pPr>
        <w:jc w:val="right"/>
        <w:rPr>
          <w:rFonts w:ascii="Times New Roman" w:hAnsi="Times New Roman" w:cs="Times New Roman"/>
        </w:rPr>
      </w:pPr>
      <w:r w:rsidRPr="00C449D2">
        <w:rPr>
          <w:rFonts w:ascii="Times New Roman" w:hAnsi="Times New Roman" w:cs="Times New Roman"/>
        </w:rPr>
        <w:t>ORIGINAL: ENGLISH</w:t>
      </w:r>
    </w:p>
    <w:p w:rsidR="00C449D2" w:rsidRPr="00C449D2" w:rsidRDefault="00C449D2" w:rsidP="00C449D2">
      <w:pPr>
        <w:pStyle w:val="NoSpacing"/>
        <w:jc w:val="center"/>
        <w:rPr>
          <w:rFonts w:ascii="Times New Roman" w:hAnsi="Times New Roman" w:cs="Times New Roman"/>
          <w:caps/>
          <w:u w:val="single"/>
        </w:rPr>
      </w:pPr>
      <w:r w:rsidRPr="00C449D2">
        <w:rPr>
          <w:rFonts w:ascii="Times New Roman" w:hAnsi="Times New Roman" w:cs="Times New Roman"/>
          <w:caps/>
          <w:u w:val="single"/>
        </w:rPr>
        <w:t>Secretariat of the Pacific Community</w:t>
      </w:r>
    </w:p>
    <w:p w:rsidR="00C449D2" w:rsidRPr="00C449D2" w:rsidRDefault="00C449D2" w:rsidP="00C449D2">
      <w:pPr>
        <w:pStyle w:val="NoSpacing"/>
        <w:jc w:val="center"/>
        <w:rPr>
          <w:rFonts w:ascii="Times New Roman" w:hAnsi="Times New Roman" w:cs="Times New Roman"/>
          <w:caps/>
          <w:u w:val="single"/>
        </w:rPr>
      </w:pPr>
      <w:r w:rsidRPr="00C449D2">
        <w:rPr>
          <w:rFonts w:ascii="Times New Roman" w:hAnsi="Times New Roman" w:cs="Times New Roman"/>
          <w:caps/>
          <w:u w:val="single"/>
        </w:rPr>
        <w:t>Statistics for Development Division (SDD)</w:t>
      </w:r>
    </w:p>
    <w:p w:rsidR="00C449D2" w:rsidRPr="00C449D2" w:rsidRDefault="00C449D2" w:rsidP="00C449D2">
      <w:pPr>
        <w:pStyle w:val="NoSpacing"/>
        <w:jc w:val="center"/>
        <w:rPr>
          <w:rFonts w:ascii="Times New Roman" w:hAnsi="Times New Roman" w:cs="Times New Roman"/>
          <w:caps/>
          <w:u w:val="single"/>
        </w:rPr>
      </w:pPr>
    </w:p>
    <w:p w:rsidR="00C449D2" w:rsidRPr="00C449D2" w:rsidRDefault="00C449D2" w:rsidP="00C449D2">
      <w:pPr>
        <w:pStyle w:val="NoSpacing"/>
        <w:jc w:val="center"/>
        <w:rPr>
          <w:rFonts w:ascii="Times New Roman" w:hAnsi="Times New Roman" w:cs="Times New Roman"/>
          <w:caps/>
          <w:u w:val="single"/>
        </w:rPr>
      </w:pPr>
      <w:r w:rsidRPr="00C449D2">
        <w:rPr>
          <w:rFonts w:ascii="Times New Roman" w:hAnsi="Times New Roman" w:cs="Times New Roman"/>
          <w:caps/>
          <w:u w:val="single"/>
        </w:rPr>
        <w:t>2020 World Round of Population and Housing Censuses –</w:t>
      </w:r>
    </w:p>
    <w:p w:rsidR="00C449D2" w:rsidRPr="00C449D2" w:rsidRDefault="00C449D2" w:rsidP="00C449D2">
      <w:pPr>
        <w:pStyle w:val="NoSpacing"/>
        <w:jc w:val="center"/>
        <w:rPr>
          <w:rFonts w:ascii="Times New Roman" w:hAnsi="Times New Roman" w:cs="Times New Roman"/>
          <w:caps/>
          <w:u w:val="single"/>
        </w:rPr>
      </w:pPr>
      <w:r w:rsidRPr="00C449D2">
        <w:rPr>
          <w:rFonts w:ascii="Times New Roman" w:hAnsi="Times New Roman" w:cs="Times New Roman"/>
          <w:caps/>
          <w:u w:val="single"/>
        </w:rPr>
        <w:t>Pacific Island countries’ census planning meeting:</w:t>
      </w:r>
    </w:p>
    <w:p w:rsidR="00C449D2" w:rsidRPr="00C449D2" w:rsidRDefault="00C449D2" w:rsidP="00C449D2">
      <w:pPr>
        <w:pStyle w:val="NoSpacing"/>
        <w:jc w:val="center"/>
        <w:rPr>
          <w:rFonts w:ascii="Times New Roman" w:hAnsi="Times New Roman" w:cs="Times New Roman"/>
          <w:i/>
          <w:caps/>
          <w:u w:val="single"/>
        </w:rPr>
      </w:pPr>
      <w:r w:rsidRPr="00C449D2">
        <w:rPr>
          <w:rFonts w:ascii="Times New Roman" w:hAnsi="Times New Roman" w:cs="Times New Roman"/>
          <w:i/>
          <w:caps/>
          <w:u w:val="single"/>
        </w:rPr>
        <w:t>International recommendations/standards, contemporary technologies and regional cooperation</w:t>
      </w:r>
    </w:p>
    <w:p w:rsidR="00C449D2" w:rsidRPr="00C449D2" w:rsidRDefault="00C449D2" w:rsidP="00C449D2">
      <w:pPr>
        <w:pStyle w:val="NoSpacing"/>
        <w:jc w:val="center"/>
        <w:rPr>
          <w:rFonts w:ascii="Times New Roman" w:hAnsi="Times New Roman" w:cs="Times New Roman"/>
          <w:caps/>
          <w:u w:val="single"/>
        </w:rPr>
      </w:pPr>
    </w:p>
    <w:p w:rsidR="00C449D2" w:rsidRPr="00C449D2" w:rsidRDefault="00C449D2" w:rsidP="00C449D2">
      <w:pPr>
        <w:pStyle w:val="NoSpacing"/>
        <w:jc w:val="center"/>
        <w:rPr>
          <w:rFonts w:ascii="Times New Roman" w:hAnsi="Times New Roman" w:cs="Times New Roman"/>
        </w:rPr>
      </w:pPr>
      <w:r w:rsidRPr="00C449D2">
        <w:rPr>
          <w:rFonts w:ascii="Times New Roman" w:hAnsi="Times New Roman" w:cs="Times New Roman"/>
        </w:rPr>
        <w:t>Noumea, New Caledonia, 27 July – 31 July 2015</w:t>
      </w:r>
    </w:p>
    <w:p w:rsidR="00C449D2" w:rsidRPr="00C449D2" w:rsidRDefault="00C449D2" w:rsidP="00C449D2">
      <w:pPr>
        <w:pStyle w:val="NoSpacing"/>
        <w:jc w:val="center"/>
        <w:rPr>
          <w:rFonts w:ascii="Times New Roman" w:hAnsi="Times New Roman" w:cs="Times New Roman"/>
        </w:rPr>
      </w:pPr>
    </w:p>
    <w:p w:rsidR="00C449D2" w:rsidRPr="00C449D2" w:rsidRDefault="00C449D2" w:rsidP="00C449D2">
      <w:pPr>
        <w:pStyle w:val="NoSpacing"/>
        <w:rPr>
          <w:rFonts w:ascii="Times New Roman" w:hAnsi="Times New Roman" w:cs="Times New Roman"/>
          <w:b/>
        </w:rPr>
      </w:pPr>
      <w:r w:rsidRPr="00C449D2">
        <w:rPr>
          <w:rFonts w:ascii="Times New Roman" w:hAnsi="Times New Roman" w:cs="Times New Roman"/>
          <w:b/>
        </w:rPr>
        <w:t xml:space="preserve">PART </w:t>
      </w:r>
      <w:proofErr w:type="spellStart"/>
      <w:r w:rsidR="00BE7F41">
        <w:rPr>
          <w:rFonts w:ascii="Times New Roman" w:hAnsi="Times New Roman" w:cs="Times New Roman"/>
          <w:b/>
        </w:rPr>
        <w:t>4b</w:t>
      </w:r>
      <w:proofErr w:type="spellEnd"/>
      <w:r w:rsidRPr="00C449D2">
        <w:rPr>
          <w:rFonts w:ascii="Times New Roman" w:hAnsi="Times New Roman" w:cs="Times New Roman"/>
          <w:b/>
        </w:rPr>
        <w:t xml:space="preserve">: CENSUS </w:t>
      </w:r>
      <w:r w:rsidR="00BE7F41">
        <w:rPr>
          <w:rFonts w:ascii="Times New Roman" w:hAnsi="Times New Roman" w:cs="Times New Roman"/>
          <w:b/>
        </w:rPr>
        <w:t>USE: Human Development: gender, youth, culture, human rights</w:t>
      </w:r>
    </w:p>
    <w:p w:rsidR="00C449D2" w:rsidRPr="00C449D2" w:rsidRDefault="00C449D2" w:rsidP="00614BA8">
      <w:pPr>
        <w:pStyle w:val="NoSpacing"/>
        <w:spacing w:after="240"/>
        <w:rPr>
          <w:rFonts w:ascii="Times New Roman" w:hAnsi="Times New Roman" w:cs="Times New Roman"/>
        </w:rPr>
      </w:pPr>
      <w:r w:rsidRPr="00C449D2">
        <w:rPr>
          <w:rFonts w:ascii="Times New Roman" w:hAnsi="Times New Roman" w:cs="Times New Roman"/>
        </w:rPr>
        <w:t xml:space="preserve">(Document presented by </w:t>
      </w:r>
      <w:r w:rsidR="00BE7F41">
        <w:rPr>
          <w:rFonts w:ascii="Times New Roman" w:hAnsi="Times New Roman" w:cs="Times New Roman"/>
        </w:rPr>
        <w:t>Kim Robertson</w:t>
      </w:r>
      <w:r w:rsidRPr="00C449D2">
        <w:rPr>
          <w:rFonts w:ascii="Times New Roman" w:hAnsi="Times New Roman" w:cs="Times New Roman"/>
        </w:rPr>
        <w:t xml:space="preserve">, </w:t>
      </w:r>
      <w:r w:rsidR="00BE7F41">
        <w:rPr>
          <w:rFonts w:ascii="Times New Roman" w:hAnsi="Times New Roman" w:cs="Times New Roman"/>
        </w:rPr>
        <w:t>Statistics Advisor (Gender Equality)</w:t>
      </w:r>
      <w:r w:rsidRPr="00C449D2">
        <w:rPr>
          <w:rFonts w:ascii="Times New Roman" w:hAnsi="Times New Roman" w:cs="Times New Roman"/>
        </w:rPr>
        <w:t>, Secretariat of the Pacific Community)</w:t>
      </w:r>
    </w:p>
    <w:p w:rsidR="00C449D2" w:rsidRPr="00BE7F41" w:rsidRDefault="00BE7F41" w:rsidP="007C5A4B">
      <w:pPr>
        <w:pStyle w:val="Heading1"/>
      </w:pPr>
      <w:r w:rsidRPr="00BE7F41">
        <w:t>PURPOSE</w:t>
      </w:r>
    </w:p>
    <w:p w:rsidR="00C449D2" w:rsidRDefault="00BE7F41" w:rsidP="008C1E23">
      <w:pPr>
        <w:pStyle w:val="NoSpacing"/>
        <w:numPr>
          <w:ilvl w:val="1"/>
          <w:numId w:val="2"/>
        </w:numPr>
        <w:spacing w:after="200" w:line="264" w:lineRule="auto"/>
        <w:ind w:left="0" w:firstLine="0"/>
        <w:rPr>
          <w:rFonts w:ascii="Times New Roman" w:hAnsi="Times New Roman" w:cs="Times New Roman"/>
        </w:rPr>
      </w:pPr>
      <w:r w:rsidRPr="00BE7F41">
        <w:rPr>
          <w:rFonts w:ascii="Times New Roman" w:hAnsi="Times New Roman" w:cs="Times New Roman"/>
        </w:rPr>
        <w:t xml:space="preserve">To </w:t>
      </w:r>
      <w:r>
        <w:rPr>
          <w:rFonts w:ascii="Times New Roman" w:hAnsi="Times New Roman" w:cs="Times New Roman"/>
        </w:rPr>
        <w:t>inform</w:t>
      </w:r>
      <w:r w:rsidRPr="00BE7F41">
        <w:rPr>
          <w:rFonts w:ascii="Times New Roman" w:hAnsi="Times New Roman" w:cs="Times New Roman"/>
        </w:rPr>
        <w:t xml:space="preserve"> on </w:t>
      </w:r>
      <w:r>
        <w:rPr>
          <w:rFonts w:ascii="Times New Roman" w:hAnsi="Times New Roman" w:cs="Times New Roman"/>
        </w:rPr>
        <w:t xml:space="preserve">major regional and international initiatives on gender statistics and highlight improvements to enhance the usefulness of Population and Housing Census statistics for the analysis of gender, youth, culture and human rights.   </w:t>
      </w:r>
    </w:p>
    <w:p w:rsidR="008C1E23" w:rsidRPr="007C5A4B" w:rsidRDefault="008C1E23" w:rsidP="007C5A4B">
      <w:pPr>
        <w:pStyle w:val="Heading1"/>
      </w:pPr>
      <w:r w:rsidRPr="007C5A4B">
        <w:t xml:space="preserve">UNITED NATIONS </w:t>
      </w:r>
      <w:r w:rsidR="00614BA8">
        <w:t>MINIMUM</w:t>
      </w:r>
      <w:r w:rsidRPr="007C5A4B">
        <w:t xml:space="preserve"> SET OF GENDER INDICATORS </w:t>
      </w:r>
    </w:p>
    <w:p w:rsidR="00C91DE5" w:rsidRDefault="008C1E23" w:rsidP="00614BA8">
      <w:pPr>
        <w:pStyle w:val="NoSpacing"/>
        <w:numPr>
          <w:ilvl w:val="1"/>
          <w:numId w:val="2"/>
        </w:numPr>
        <w:spacing w:after="200" w:line="264" w:lineRule="auto"/>
        <w:ind w:left="0" w:firstLine="0"/>
        <w:rPr>
          <w:rFonts w:ascii="Times New Roman" w:hAnsi="Times New Roman" w:cs="Times New Roman"/>
        </w:rPr>
      </w:pPr>
      <w:r w:rsidRPr="008C1E23">
        <w:rPr>
          <w:rFonts w:ascii="Times New Roman" w:hAnsi="Times New Roman" w:cs="Times New Roman"/>
        </w:rPr>
        <w:t xml:space="preserve">At the 2014 regional workshop on gender statistics, </w:t>
      </w:r>
      <w:r w:rsidR="00614BA8">
        <w:rPr>
          <w:rFonts w:ascii="Times New Roman" w:hAnsi="Times New Roman" w:cs="Times New Roman"/>
        </w:rPr>
        <w:t>Pacific Island Countries (</w:t>
      </w:r>
      <w:proofErr w:type="spellStart"/>
      <w:r w:rsidR="00614BA8">
        <w:rPr>
          <w:rFonts w:ascii="Times New Roman" w:hAnsi="Times New Roman" w:cs="Times New Roman"/>
        </w:rPr>
        <w:t>PICs</w:t>
      </w:r>
      <w:proofErr w:type="spellEnd"/>
      <w:r w:rsidR="00614BA8">
        <w:rPr>
          <w:rFonts w:ascii="Times New Roman" w:hAnsi="Times New Roman" w:cs="Times New Roman"/>
        </w:rPr>
        <w:t xml:space="preserve">) </w:t>
      </w:r>
      <w:r w:rsidRPr="008C1E23">
        <w:rPr>
          <w:rFonts w:ascii="Times New Roman" w:hAnsi="Times New Roman" w:cs="Times New Roman"/>
        </w:rPr>
        <w:t>adopt</w:t>
      </w:r>
      <w:r w:rsidR="00614BA8">
        <w:rPr>
          <w:rFonts w:ascii="Times New Roman" w:hAnsi="Times New Roman" w:cs="Times New Roman"/>
        </w:rPr>
        <w:t>ed</w:t>
      </w:r>
      <w:r w:rsidRPr="008C1E23">
        <w:rPr>
          <w:rFonts w:ascii="Times New Roman" w:hAnsi="Times New Roman" w:cs="Times New Roman"/>
        </w:rPr>
        <w:t xml:space="preserve"> the United Nations Statistics Division minimum set of gender indicators as the framework for producing, analysing and disseminating gender statistics, initially collecting and compiling the 4</w:t>
      </w:r>
      <w:r w:rsidR="00614BA8">
        <w:rPr>
          <w:rFonts w:ascii="Times New Roman" w:hAnsi="Times New Roman" w:cs="Times New Roman"/>
        </w:rPr>
        <w:t>7</w:t>
      </w:r>
      <w:r w:rsidRPr="008C1E23">
        <w:rPr>
          <w:rFonts w:ascii="Times New Roman" w:hAnsi="Times New Roman" w:cs="Times New Roman"/>
        </w:rPr>
        <w:t xml:space="preserve"> Tier 1</w:t>
      </w:r>
      <w:r w:rsidR="00614BA8">
        <w:rPr>
          <w:rFonts w:ascii="Times New Roman" w:hAnsi="Times New Roman" w:cs="Times New Roman"/>
        </w:rPr>
        <w:t xml:space="preserve"> quantitative</w:t>
      </w:r>
      <w:r w:rsidRPr="008C1E23">
        <w:rPr>
          <w:rFonts w:ascii="Times New Roman" w:hAnsi="Times New Roman" w:cs="Times New Roman"/>
        </w:rPr>
        <w:t xml:space="preserve"> indicators which are conceptually clear, with an agreed international definition and regularly produced by countries. </w:t>
      </w:r>
      <w:r w:rsidR="00614BA8" w:rsidRPr="00614BA8">
        <w:rPr>
          <w:rFonts w:ascii="Times New Roman" w:hAnsi="Times New Roman" w:cs="Times New Roman"/>
          <w:b/>
        </w:rPr>
        <w:t>Annex 1</w:t>
      </w:r>
      <w:r w:rsidR="00614BA8" w:rsidRPr="00614BA8">
        <w:rPr>
          <w:rFonts w:ascii="Times New Roman" w:hAnsi="Times New Roman" w:cs="Times New Roman"/>
        </w:rPr>
        <w:t xml:space="preserve"> </w:t>
      </w:r>
      <w:r w:rsidR="00614BA8">
        <w:rPr>
          <w:rFonts w:ascii="Times New Roman" w:hAnsi="Times New Roman" w:cs="Times New Roman"/>
        </w:rPr>
        <w:t>contains the Tier 1 UN minimum set of gender indicators, with 16 of these having high levels of data quality and reliability when derived from the Census of Population and Housing in the domains of</w:t>
      </w:r>
      <w:r w:rsidR="00683B46">
        <w:rPr>
          <w:rFonts w:ascii="Times New Roman" w:hAnsi="Times New Roman" w:cs="Times New Roman"/>
        </w:rPr>
        <w:t>:</w:t>
      </w:r>
      <w:r w:rsidR="00614BA8">
        <w:rPr>
          <w:rFonts w:ascii="Times New Roman" w:hAnsi="Times New Roman" w:cs="Times New Roman"/>
        </w:rPr>
        <w:t xml:space="preserve"> </w:t>
      </w:r>
      <w:r w:rsidR="00614BA8" w:rsidRPr="00614BA8">
        <w:rPr>
          <w:rFonts w:ascii="Times New Roman" w:hAnsi="Times New Roman" w:cs="Times New Roman"/>
        </w:rPr>
        <w:t>participation in productive activities and access to resources</w:t>
      </w:r>
      <w:r w:rsidR="00614BA8">
        <w:rPr>
          <w:rFonts w:ascii="Times New Roman" w:hAnsi="Times New Roman" w:cs="Times New Roman"/>
        </w:rPr>
        <w:t xml:space="preserve">; education; health; </w:t>
      </w:r>
      <w:r w:rsidR="00C91DE5">
        <w:rPr>
          <w:rFonts w:ascii="Times New Roman" w:hAnsi="Times New Roman" w:cs="Times New Roman"/>
        </w:rPr>
        <w:t>h</w:t>
      </w:r>
      <w:r w:rsidR="00614BA8" w:rsidRPr="00614BA8">
        <w:rPr>
          <w:rFonts w:ascii="Times New Roman" w:hAnsi="Times New Roman" w:cs="Times New Roman"/>
        </w:rPr>
        <w:t>uman rights of women and girl children</w:t>
      </w:r>
      <w:r w:rsidR="00683B46">
        <w:rPr>
          <w:rFonts w:ascii="Times New Roman" w:hAnsi="Times New Roman" w:cs="Times New Roman"/>
        </w:rPr>
        <w:t>;</w:t>
      </w:r>
      <w:r w:rsidR="00614BA8" w:rsidRPr="00614BA8">
        <w:rPr>
          <w:rFonts w:ascii="Times New Roman" w:hAnsi="Times New Roman" w:cs="Times New Roman"/>
        </w:rPr>
        <w:t xml:space="preserve"> </w:t>
      </w:r>
      <w:r w:rsidR="00C91DE5">
        <w:rPr>
          <w:rFonts w:ascii="Times New Roman" w:hAnsi="Times New Roman" w:cs="Times New Roman"/>
        </w:rPr>
        <w:t xml:space="preserve">and public life and decision making. </w:t>
      </w:r>
    </w:p>
    <w:p w:rsidR="00964198" w:rsidRDefault="00964198" w:rsidP="00614BA8">
      <w:pPr>
        <w:pStyle w:val="NoSpacing"/>
        <w:numPr>
          <w:ilvl w:val="1"/>
          <w:numId w:val="2"/>
        </w:numPr>
        <w:spacing w:after="200" w:line="264" w:lineRule="auto"/>
        <w:ind w:left="0" w:firstLine="0"/>
        <w:rPr>
          <w:rFonts w:ascii="Times New Roman" w:hAnsi="Times New Roman" w:cs="Times New Roman"/>
        </w:rPr>
      </w:pPr>
      <w:r>
        <w:rPr>
          <w:rFonts w:ascii="Times New Roman" w:hAnsi="Times New Roman" w:cs="Times New Roman"/>
        </w:rPr>
        <w:t xml:space="preserve">The Tier 1 UN minimum set of gender indicators which can be derived from the Census of Population and Housing with data quality concerns relate to: </w:t>
      </w:r>
    </w:p>
    <w:p w:rsidR="00964198" w:rsidRDefault="00964198" w:rsidP="00DC2909">
      <w:pPr>
        <w:pStyle w:val="NoSpacing"/>
        <w:numPr>
          <w:ilvl w:val="0"/>
          <w:numId w:val="5"/>
        </w:numPr>
        <w:spacing w:after="200" w:line="264" w:lineRule="auto"/>
        <w:ind w:left="426" w:hanging="284"/>
        <w:rPr>
          <w:rFonts w:ascii="Times New Roman" w:hAnsi="Times New Roman" w:cs="Times New Roman"/>
        </w:rPr>
      </w:pPr>
      <w:r w:rsidRPr="00DC2909">
        <w:rPr>
          <w:rFonts w:ascii="Times New Roman" w:hAnsi="Times New Roman" w:cs="Times New Roman"/>
          <w:b/>
        </w:rPr>
        <w:t>Education:</w:t>
      </w:r>
      <w:r>
        <w:rPr>
          <w:rFonts w:ascii="Times New Roman" w:hAnsi="Times New Roman" w:cs="Times New Roman"/>
        </w:rPr>
        <w:t xml:space="preserve"> When the Census is conducted when the school year has ended data on current level of enrolment is not consistent with Ministry of Education administrative data</w:t>
      </w:r>
      <w:r w:rsidR="00F2131B">
        <w:rPr>
          <w:rFonts w:ascii="Times New Roman" w:hAnsi="Times New Roman" w:cs="Times New Roman"/>
        </w:rPr>
        <w:t xml:space="preserve"> for the school year</w:t>
      </w:r>
      <w:r>
        <w:rPr>
          <w:rFonts w:ascii="Times New Roman" w:hAnsi="Times New Roman" w:cs="Times New Roman"/>
        </w:rPr>
        <w:t xml:space="preserve">. </w:t>
      </w:r>
      <w:proofErr w:type="gramStart"/>
      <w:r>
        <w:rPr>
          <w:rFonts w:ascii="Times New Roman" w:hAnsi="Times New Roman" w:cs="Times New Roman"/>
        </w:rPr>
        <w:t xml:space="preserve">Not all </w:t>
      </w:r>
      <w:proofErr w:type="spellStart"/>
      <w:r>
        <w:rPr>
          <w:rFonts w:ascii="Times New Roman" w:hAnsi="Times New Roman" w:cs="Times New Roman"/>
        </w:rPr>
        <w:t>PICs</w:t>
      </w:r>
      <w:proofErr w:type="spellEnd"/>
      <w:r>
        <w:rPr>
          <w:rFonts w:ascii="Times New Roman" w:hAnsi="Times New Roman" w:cs="Times New Roman"/>
        </w:rPr>
        <w:t xml:space="preserve"> collect field of study for </w:t>
      </w:r>
      <w:r w:rsidRPr="00964198">
        <w:rPr>
          <w:rFonts w:ascii="Times New Roman" w:hAnsi="Times New Roman" w:cs="Times New Roman"/>
        </w:rPr>
        <w:t>education and training qualification</w:t>
      </w:r>
      <w:r>
        <w:rPr>
          <w:rFonts w:ascii="Times New Roman" w:hAnsi="Times New Roman" w:cs="Times New Roman"/>
        </w:rPr>
        <w:t xml:space="preserve">s and the </w:t>
      </w:r>
      <w:r w:rsidRPr="00964198">
        <w:rPr>
          <w:rFonts w:ascii="Times New Roman" w:hAnsi="Times New Roman" w:cs="Times New Roman"/>
        </w:rPr>
        <w:t>International Standard Classification of Education (</w:t>
      </w:r>
      <w:proofErr w:type="spellStart"/>
      <w:r w:rsidRPr="00964198">
        <w:rPr>
          <w:rFonts w:ascii="Times New Roman" w:hAnsi="Times New Roman" w:cs="Times New Roman"/>
        </w:rPr>
        <w:t>ISCED</w:t>
      </w:r>
      <w:proofErr w:type="spellEnd"/>
      <w:r w:rsidRPr="00964198">
        <w:rPr>
          <w:rFonts w:ascii="Times New Roman" w:hAnsi="Times New Roman" w:cs="Times New Roman"/>
        </w:rPr>
        <w:t xml:space="preserve">) </w:t>
      </w:r>
      <w:r>
        <w:rPr>
          <w:rFonts w:ascii="Times New Roman" w:hAnsi="Times New Roman" w:cs="Times New Roman"/>
        </w:rPr>
        <w:t>is not used consistently.</w:t>
      </w:r>
      <w:proofErr w:type="gramEnd"/>
      <w:r>
        <w:rPr>
          <w:rFonts w:ascii="Times New Roman" w:hAnsi="Times New Roman" w:cs="Times New Roman"/>
        </w:rPr>
        <w:t xml:space="preserve"> </w:t>
      </w:r>
      <w:r w:rsidR="00683B46">
        <w:rPr>
          <w:rFonts w:ascii="Times New Roman" w:hAnsi="Times New Roman" w:cs="Times New Roman"/>
        </w:rPr>
        <w:t>Years of schooling and e</w:t>
      </w:r>
      <w:r>
        <w:rPr>
          <w:rFonts w:ascii="Times New Roman" w:hAnsi="Times New Roman" w:cs="Times New Roman"/>
        </w:rPr>
        <w:t xml:space="preserve">ducational attainment for lower- and upper-secondary levels is not consistently collected. </w:t>
      </w:r>
    </w:p>
    <w:p w:rsidR="00964198" w:rsidRDefault="00964198" w:rsidP="00DC2909">
      <w:pPr>
        <w:pStyle w:val="NoSpacing"/>
        <w:numPr>
          <w:ilvl w:val="0"/>
          <w:numId w:val="5"/>
        </w:numPr>
        <w:spacing w:after="200" w:line="264" w:lineRule="auto"/>
        <w:ind w:left="426" w:hanging="284"/>
        <w:rPr>
          <w:rFonts w:ascii="Times New Roman" w:hAnsi="Times New Roman" w:cs="Times New Roman"/>
        </w:rPr>
      </w:pPr>
      <w:r w:rsidRPr="00DC2909">
        <w:rPr>
          <w:rFonts w:ascii="Times New Roman" w:hAnsi="Times New Roman" w:cs="Times New Roman"/>
          <w:b/>
        </w:rPr>
        <w:t>Participation in productive activities:</w:t>
      </w:r>
      <w:r>
        <w:rPr>
          <w:rFonts w:ascii="Times New Roman" w:hAnsi="Times New Roman" w:cs="Times New Roman"/>
        </w:rPr>
        <w:t xml:space="preserve"> Labour force participation rates vary according to whether the </w:t>
      </w:r>
      <w:r w:rsidR="00DC2909">
        <w:rPr>
          <w:rFonts w:ascii="Times New Roman" w:hAnsi="Times New Roman" w:cs="Times New Roman"/>
        </w:rPr>
        <w:t xml:space="preserve">main question on labour force status asks about ‘type of work’ or ‘main activity’ and the reference period of time used differs. </w:t>
      </w:r>
      <w:proofErr w:type="gramStart"/>
      <w:r w:rsidR="00DC2909">
        <w:rPr>
          <w:rFonts w:ascii="Times New Roman" w:hAnsi="Times New Roman" w:cs="Times New Roman"/>
        </w:rPr>
        <w:t>Status in employment categories sometimes do</w:t>
      </w:r>
      <w:proofErr w:type="gramEnd"/>
      <w:r w:rsidR="00DC2909">
        <w:rPr>
          <w:rFonts w:ascii="Times New Roman" w:hAnsi="Times New Roman" w:cs="Times New Roman"/>
        </w:rPr>
        <w:t xml:space="preserve"> not include </w:t>
      </w:r>
      <w:r w:rsidR="00DC2909" w:rsidRPr="00DC2909">
        <w:rPr>
          <w:rFonts w:ascii="Times New Roman" w:hAnsi="Times New Roman" w:cs="Times New Roman"/>
        </w:rPr>
        <w:t>contributing family workers</w:t>
      </w:r>
      <w:r w:rsidR="00DC2909">
        <w:rPr>
          <w:rFonts w:ascii="Times New Roman" w:hAnsi="Times New Roman" w:cs="Times New Roman"/>
        </w:rPr>
        <w:t xml:space="preserve">. The age </w:t>
      </w:r>
      <w:proofErr w:type="gramStart"/>
      <w:r w:rsidR="00DC2909">
        <w:rPr>
          <w:rFonts w:ascii="Times New Roman" w:hAnsi="Times New Roman" w:cs="Times New Roman"/>
        </w:rPr>
        <w:t>criteria for the reference population differs</w:t>
      </w:r>
      <w:proofErr w:type="gramEnd"/>
      <w:r w:rsidR="00DC2909">
        <w:rPr>
          <w:rFonts w:ascii="Times New Roman" w:hAnsi="Times New Roman" w:cs="Times New Roman"/>
        </w:rPr>
        <w:t xml:space="preserve">. </w:t>
      </w:r>
    </w:p>
    <w:p w:rsidR="00DC2909" w:rsidRDefault="00DC2909" w:rsidP="00DC2909">
      <w:pPr>
        <w:pStyle w:val="NoSpacing"/>
        <w:numPr>
          <w:ilvl w:val="0"/>
          <w:numId w:val="5"/>
        </w:numPr>
        <w:spacing w:after="200" w:line="264" w:lineRule="auto"/>
        <w:ind w:left="426" w:hanging="284"/>
        <w:rPr>
          <w:rFonts w:ascii="Times New Roman" w:hAnsi="Times New Roman" w:cs="Times New Roman"/>
        </w:rPr>
      </w:pPr>
      <w:r w:rsidRPr="00DC2909">
        <w:rPr>
          <w:rFonts w:ascii="Times New Roman" w:hAnsi="Times New Roman" w:cs="Times New Roman"/>
          <w:b/>
        </w:rPr>
        <w:t>Access to resources:</w:t>
      </w:r>
      <w:r>
        <w:rPr>
          <w:rFonts w:ascii="Times New Roman" w:hAnsi="Times New Roman" w:cs="Times New Roman"/>
        </w:rPr>
        <w:t xml:space="preserve"> Internet and </w:t>
      </w:r>
      <w:r w:rsidRPr="00DC2909">
        <w:rPr>
          <w:rFonts w:ascii="Times New Roman" w:hAnsi="Times New Roman" w:cs="Times New Roman"/>
        </w:rPr>
        <w:t xml:space="preserve">mobile/cellular telephone </w:t>
      </w:r>
      <w:r>
        <w:rPr>
          <w:rFonts w:ascii="Times New Roman" w:hAnsi="Times New Roman" w:cs="Times New Roman"/>
        </w:rPr>
        <w:t xml:space="preserve">use is not asked in all </w:t>
      </w:r>
      <w:proofErr w:type="spellStart"/>
      <w:r>
        <w:rPr>
          <w:rFonts w:ascii="Times New Roman" w:hAnsi="Times New Roman" w:cs="Times New Roman"/>
        </w:rPr>
        <w:t>PICs</w:t>
      </w:r>
      <w:proofErr w:type="spellEnd"/>
      <w:r>
        <w:rPr>
          <w:rFonts w:ascii="Times New Roman" w:hAnsi="Times New Roman" w:cs="Times New Roman"/>
        </w:rPr>
        <w:t xml:space="preserve"> and is sometimes included on the dwelling questionnaire (access) and sometimes on the individual questionnaire (access and use). </w:t>
      </w:r>
    </w:p>
    <w:p w:rsidR="008C1E23" w:rsidRPr="0086503D" w:rsidRDefault="00C91DE5" w:rsidP="00C91DE5">
      <w:pPr>
        <w:pStyle w:val="Heading1"/>
        <w:ind w:left="357" w:hanging="357"/>
        <w:rPr>
          <w:caps/>
        </w:rPr>
      </w:pPr>
      <w:proofErr w:type="spellStart"/>
      <w:r w:rsidRPr="0086503D">
        <w:rPr>
          <w:caps/>
        </w:rPr>
        <w:lastRenderedPageBreak/>
        <w:t>UNFPA</w:t>
      </w:r>
      <w:proofErr w:type="spellEnd"/>
      <w:r w:rsidRPr="0086503D">
        <w:rPr>
          <w:caps/>
        </w:rPr>
        <w:t xml:space="preserve"> Guide on the Gender Analysis of Census Data</w:t>
      </w:r>
      <w:r w:rsidR="00DC2909" w:rsidRPr="0086503D">
        <w:rPr>
          <w:rStyle w:val="FootnoteReference"/>
          <w:caps/>
        </w:rPr>
        <w:footnoteReference w:id="1"/>
      </w:r>
      <w:r w:rsidRPr="0086503D">
        <w:rPr>
          <w:caps/>
        </w:rPr>
        <w:t xml:space="preserve"> </w:t>
      </w:r>
    </w:p>
    <w:p w:rsidR="002A1314" w:rsidRDefault="002A1314" w:rsidP="009C1785">
      <w:pPr>
        <w:pStyle w:val="NoSpacing"/>
        <w:numPr>
          <w:ilvl w:val="1"/>
          <w:numId w:val="2"/>
        </w:numPr>
        <w:spacing w:after="200" w:line="264" w:lineRule="auto"/>
        <w:ind w:left="0" w:firstLine="0"/>
        <w:contextualSpacing/>
        <w:rPr>
          <w:rFonts w:ascii="Times New Roman" w:hAnsi="Times New Roman" w:cs="Times New Roman"/>
        </w:rPr>
      </w:pPr>
      <w:r>
        <w:rPr>
          <w:rFonts w:ascii="Times New Roman" w:hAnsi="Times New Roman" w:cs="Times New Roman"/>
        </w:rPr>
        <w:t xml:space="preserve">This comprehensive guide resulted from </w:t>
      </w:r>
      <w:proofErr w:type="spellStart"/>
      <w:r>
        <w:rPr>
          <w:rFonts w:ascii="Times New Roman" w:hAnsi="Times New Roman" w:cs="Times New Roman"/>
        </w:rPr>
        <w:t>UNFPA</w:t>
      </w:r>
      <w:proofErr w:type="spellEnd"/>
      <w:r>
        <w:rPr>
          <w:rFonts w:ascii="Times New Roman" w:hAnsi="Times New Roman" w:cs="Times New Roman"/>
        </w:rPr>
        <w:t xml:space="preserve"> and UN partners</w:t>
      </w:r>
      <w:r w:rsidRPr="002A1314">
        <w:rPr>
          <w:rFonts w:ascii="Times New Roman" w:hAnsi="Times New Roman" w:cs="Times New Roman"/>
        </w:rPr>
        <w:t xml:space="preserve"> </w:t>
      </w:r>
      <w:r>
        <w:rPr>
          <w:rFonts w:ascii="Times New Roman" w:hAnsi="Times New Roman" w:cs="Times New Roman"/>
        </w:rPr>
        <w:t xml:space="preserve">responding to National Statistics Office requests for the need </w:t>
      </w:r>
      <w:r w:rsidRPr="002A1314">
        <w:rPr>
          <w:rFonts w:ascii="Times New Roman" w:hAnsi="Times New Roman" w:cs="Times New Roman"/>
        </w:rPr>
        <w:t xml:space="preserve">to promote gender-responsive analysis of census data beyond sex-disaggregation to make core national statistics more relevant and comprehensive, and improve decision making for development planning and programmes. </w:t>
      </w:r>
      <w:r>
        <w:rPr>
          <w:rFonts w:ascii="Times New Roman" w:hAnsi="Times New Roman" w:cs="Times New Roman"/>
        </w:rPr>
        <w:t xml:space="preserve">The guide examines the census as a data source for 10 key gender issues: </w:t>
      </w:r>
    </w:p>
    <w:p w:rsidR="002A1314" w:rsidRDefault="002A1314" w:rsidP="009C1785">
      <w:pPr>
        <w:pStyle w:val="NoSpacing"/>
        <w:numPr>
          <w:ilvl w:val="0"/>
          <w:numId w:val="6"/>
        </w:numPr>
        <w:spacing w:after="200" w:line="264" w:lineRule="auto"/>
        <w:ind w:left="714" w:hanging="357"/>
        <w:contextualSpacing/>
        <w:rPr>
          <w:rFonts w:ascii="Times New Roman" w:hAnsi="Times New Roman" w:cs="Times New Roman"/>
        </w:rPr>
      </w:pPr>
      <w:r>
        <w:rPr>
          <w:rFonts w:ascii="Times New Roman" w:hAnsi="Times New Roman" w:cs="Times New Roman"/>
        </w:rPr>
        <w:t>Fertility</w:t>
      </w:r>
    </w:p>
    <w:p w:rsidR="002A1314" w:rsidRDefault="002A1314" w:rsidP="009C1785">
      <w:pPr>
        <w:pStyle w:val="NoSpacing"/>
        <w:numPr>
          <w:ilvl w:val="0"/>
          <w:numId w:val="6"/>
        </w:numPr>
        <w:spacing w:after="200" w:line="264" w:lineRule="auto"/>
        <w:ind w:left="714" w:hanging="357"/>
        <w:contextualSpacing/>
        <w:rPr>
          <w:rFonts w:ascii="Times New Roman" w:hAnsi="Times New Roman" w:cs="Times New Roman"/>
        </w:rPr>
      </w:pPr>
      <w:r>
        <w:rPr>
          <w:rFonts w:ascii="Times New Roman" w:hAnsi="Times New Roman" w:cs="Times New Roman"/>
        </w:rPr>
        <w:t xml:space="preserve">Mortality  </w:t>
      </w:r>
    </w:p>
    <w:p w:rsidR="002A1314" w:rsidRPr="009C1785" w:rsidRDefault="002A1314" w:rsidP="009C1785">
      <w:pPr>
        <w:pStyle w:val="NoSpacing"/>
        <w:numPr>
          <w:ilvl w:val="0"/>
          <w:numId w:val="6"/>
        </w:numPr>
        <w:spacing w:after="200" w:line="264" w:lineRule="auto"/>
        <w:ind w:left="714" w:hanging="357"/>
        <w:contextualSpacing/>
        <w:rPr>
          <w:rFonts w:ascii="Times New Roman" w:hAnsi="Times New Roman" w:cs="Times New Roman"/>
        </w:rPr>
      </w:pPr>
      <w:r w:rsidRPr="009C1785">
        <w:rPr>
          <w:rFonts w:ascii="Times New Roman" w:hAnsi="Times New Roman" w:cs="Times New Roman"/>
        </w:rPr>
        <w:t>Sex Ratio at Birth and throughout the Life Cycle</w:t>
      </w:r>
    </w:p>
    <w:p w:rsidR="002A1314" w:rsidRPr="009C1785" w:rsidRDefault="002A1314" w:rsidP="009C1785">
      <w:pPr>
        <w:pStyle w:val="NoSpacing"/>
        <w:numPr>
          <w:ilvl w:val="0"/>
          <w:numId w:val="6"/>
        </w:numPr>
        <w:spacing w:after="200" w:line="264" w:lineRule="auto"/>
        <w:ind w:left="714" w:hanging="357"/>
        <w:contextualSpacing/>
        <w:rPr>
          <w:rFonts w:ascii="Times New Roman" w:hAnsi="Times New Roman" w:cs="Times New Roman"/>
        </w:rPr>
      </w:pPr>
      <w:r w:rsidRPr="009C1785">
        <w:rPr>
          <w:rFonts w:ascii="Times New Roman" w:hAnsi="Times New Roman" w:cs="Times New Roman"/>
        </w:rPr>
        <w:t>Marital Status, Polygamy, Widowhood and Child Marriage</w:t>
      </w:r>
    </w:p>
    <w:p w:rsidR="002A1314" w:rsidRPr="009C1785" w:rsidRDefault="002A1314" w:rsidP="009C1785">
      <w:pPr>
        <w:pStyle w:val="NoSpacing"/>
        <w:numPr>
          <w:ilvl w:val="0"/>
          <w:numId w:val="6"/>
        </w:numPr>
        <w:spacing w:after="200" w:line="264" w:lineRule="auto"/>
        <w:ind w:left="714" w:hanging="357"/>
        <w:contextualSpacing/>
        <w:rPr>
          <w:rFonts w:ascii="Times New Roman" w:hAnsi="Times New Roman" w:cs="Times New Roman"/>
        </w:rPr>
      </w:pPr>
      <w:r w:rsidRPr="009C1785">
        <w:rPr>
          <w:rFonts w:ascii="Times New Roman" w:hAnsi="Times New Roman" w:cs="Times New Roman"/>
        </w:rPr>
        <w:t>Households and Families</w:t>
      </w:r>
    </w:p>
    <w:p w:rsidR="002A1314" w:rsidRPr="009C1785" w:rsidRDefault="002A1314" w:rsidP="009C1785">
      <w:pPr>
        <w:pStyle w:val="NoSpacing"/>
        <w:numPr>
          <w:ilvl w:val="0"/>
          <w:numId w:val="6"/>
        </w:numPr>
        <w:spacing w:after="200" w:line="264" w:lineRule="auto"/>
        <w:ind w:left="714" w:hanging="357"/>
        <w:contextualSpacing/>
        <w:rPr>
          <w:rFonts w:ascii="Times New Roman" w:hAnsi="Times New Roman" w:cs="Times New Roman"/>
        </w:rPr>
      </w:pPr>
      <w:r w:rsidRPr="009C1785">
        <w:rPr>
          <w:rFonts w:ascii="Times New Roman" w:hAnsi="Times New Roman" w:cs="Times New Roman"/>
        </w:rPr>
        <w:t>Income, Poverty and Living Conditions</w:t>
      </w:r>
    </w:p>
    <w:p w:rsidR="002A1314" w:rsidRPr="009C1785" w:rsidRDefault="002A1314" w:rsidP="009C1785">
      <w:pPr>
        <w:pStyle w:val="NoSpacing"/>
        <w:numPr>
          <w:ilvl w:val="0"/>
          <w:numId w:val="6"/>
        </w:numPr>
        <w:spacing w:after="200" w:line="264" w:lineRule="auto"/>
        <w:ind w:left="714" w:hanging="357"/>
        <w:contextualSpacing/>
        <w:rPr>
          <w:rFonts w:ascii="Times New Roman" w:hAnsi="Times New Roman" w:cs="Times New Roman"/>
        </w:rPr>
      </w:pPr>
      <w:r w:rsidRPr="009C1785">
        <w:rPr>
          <w:rFonts w:ascii="Times New Roman" w:hAnsi="Times New Roman" w:cs="Times New Roman"/>
        </w:rPr>
        <w:t>Education and Literacy</w:t>
      </w:r>
    </w:p>
    <w:p w:rsidR="002A1314" w:rsidRPr="009C1785" w:rsidRDefault="002A1314" w:rsidP="009C1785">
      <w:pPr>
        <w:pStyle w:val="NoSpacing"/>
        <w:numPr>
          <w:ilvl w:val="0"/>
          <w:numId w:val="6"/>
        </w:numPr>
        <w:spacing w:after="200" w:line="264" w:lineRule="auto"/>
        <w:ind w:left="714" w:hanging="357"/>
        <w:contextualSpacing/>
        <w:rPr>
          <w:rFonts w:ascii="Times New Roman" w:hAnsi="Times New Roman" w:cs="Times New Roman"/>
        </w:rPr>
      </w:pPr>
      <w:r w:rsidRPr="009C1785">
        <w:rPr>
          <w:rFonts w:ascii="Times New Roman" w:hAnsi="Times New Roman" w:cs="Times New Roman"/>
        </w:rPr>
        <w:t>Work, Economic Activities and Employment Benefits</w:t>
      </w:r>
    </w:p>
    <w:p w:rsidR="002A1314" w:rsidRPr="009C1785" w:rsidRDefault="009C1785" w:rsidP="009C1785">
      <w:pPr>
        <w:pStyle w:val="NoSpacing"/>
        <w:numPr>
          <w:ilvl w:val="0"/>
          <w:numId w:val="6"/>
        </w:numPr>
        <w:spacing w:after="200" w:line="264" w:lineRule="auto"/>
        <w:ind w:left="714" w:hanging="357"/>
        <w:contextualSpacing/>
        <w:rPr>
          <w:rFonts w:ascii="Times New Roman" w:hAnsi="Times New Roman" w:cs="Times New Roman"/>
        </w:rPr>
      </w:pPr>
      <w:r w:rsidRPr="009C1785">
        <w:rPr>
          <w:rFonts w:ascii="Times New Roman" w:hAnsi="Times New Roman" w:cs="Times New Roman"/>
        </w:rPr>
        <w:t>Migration</w:t>
      </w:r>
    </w:p>
    <w:p w:rsidR="009C1785" w:rsidRPr="009C1785" w:rsidRDefault="009C1785" w:rsidP="009C1785">
      <w:pPr>
        <w:pStyle w:val="NoSpacing"/>
        <w:numPr>
          <w:ilvl w:val="0"/>
          <w:numId w:val="6"/>
        </w:numPr>
        <w:spacing w:after="200" w:line="264" w:lineRule="auto"/>
        <w:rPr>
          <w:rFonts w:ascii="Times New Roman" w:hAnsi="Times New Roman" w:cs="Times New Roman"/>
        </w:rPr>
      </w:pPr>
      <w:r w:rsidRPr="009C1785">
        <w:rPr>
          <w:rFonts w:ascii="Times New Roman" w:hAnsi="Times New Roman" w:cs="Times New Roman"/>
        </w:rPr>
        <w:t xml:space="preserve">Disability </w:t>
      </w:r>
    </w:p>
    <w:p w:rsidR="009C1785" w:rsidRDefault="009C1785" w:rsidP="002A1314">
      <w:pPr>
        <w:pStyle w:val="NoSpacing"/>
        <w:numPr>
          <w:ilvl w:val="1"/>
          <w:numId w:val="2"/>
        </w:numPr>
        <w:spacing w:after="200" w:line="264" w:lineRule="auto"/>
        <w:ind w:left="0" w:firstLine="0"/>
        <w:rPr>
          <w:rFonts w:ascii="Times New Roman" w:hAnsi="Times New Roman" w:cs="Times New Roman"/>
        </w:rPr>
      </w:pPr>
      <w:proofErr w:type="spellStart"/>
      <w:r>
        <w:rPr>
          <w:rFonts w:ascii="Times New Roman" w:hAnsi="Times New Roman" w:cs="Times New Roman"/>
        </w:rPr>
        <w:t>NSOs</w:t>
      </w:r>
      <w:proofErr w:type="spellEnd"/>
      <w:r>
        <w:rPr>
          <w:rFonts w:ascii="Times New Roman" w:hAnsi="Times New Roman" w:cs="Times New Roman"/>
        </w:rPr>
        <w:t xml:space="preserve"> are encouraged to </w:t>
      </w:r>
      <w:r w:rsidR="00F2131B">
        <w:rPr>
          <w:rFonts w:ascii="Times New Roman" w:hAnsi="Times New Roman" w:cs="Times New Roman"/>
        </w:rPr>
        <w:t>use</w:t>
      </w:r>
      <w:r>
        <w:rPr>
          <w:rFonts w:ascii="Times New Roman" w:hAnsi="Times New Roman" w:cs="Times New Roman"/>
        </w:rPr>
        <w:t xml:space="preserve"> the guide to improve the gender analysis of census data. </w:t>
      </w:r>
      <w:proofErr w:type="spellStart"/>
      <w:r w:rsidR="00AA338C">
        <w:rPr>
          <w:rFonts w:ascii="Times New Roman" w:hAnsi="Times New Roman" w:cs="Times New Roman"/>
        </w:rPr>
        <w:t>PICs</w:t>
      </w:r>
      <w:proofErr w:type="spellEnd"/>
      <w:r w:rsidR="00AA338C">
        <w:rPr>
          <w:rFonts w:ascii="Times New Roman" w:hAnsi="Times New Roman" w:cs="Times New Roman"/>
        </w:rPr>
        <w:t xml:space="preserve"> could </w:t>
      </w:r>
      <w:r w:rsidR="00A22C9D">
        <w:rPr>
          <w:rFonts w:ascii="Times New Roman" w:hAnsi="Times New Roman" w:cs="Times New Roman"/>
        </w:rPr>
        <w:t xml:space="preserve">use the </w:t>
      </w:r>
      <w:proofErr w:type="spellStart"/>
      <w:r w:rsidR="00A22C9D">
        <w:rPr>
          <w:rFonts w:ascii="Times New Roman" w:hAnsi="Times New Roman" w:cs="Times New Roman"/>
        </w:rPr>
        <w:t>UNFPA</w:t>
      </w:r>
      <w:proofErr w:type="spellEnd"/>
      <w:r w:rsidR="00A22C9D">
        <w:rPr>
          <w:rFonts w:ascii="Times New Roman" w:hAnsi="Times New Roman" w:cs="Times New Roman"/>
        </w:rPr>
        <w:t xml:space="preserve"> guide to </w:t>
      </w:r>
      <w:r w:rsidR="00AA338C">
        <w:rPr>
          <w:rFonts w:ascii="Times New Roman" w:hAnsi="Times New Roman" w:cs="Times New Roman"/>
        </w:rPr>
        <w:t xml:space="preserve">make more use of census data for gender analysis in the areas of: </w:t>
      </w:r>
    </w:p>
    <w:p w:rsidR="00AA338C" w:rsidRDefault="00C9173A" w:rsidP="009F157A">
      <w:pPr>
        <w:pStyle w:val="NoSpacing"/>
        <w:numPr>
          <w:ilvl w:val="0"/>
          <w:numId w:val="5"/>
        </w:numPr>
        <w:spacing w:after="200" w:line="264" w:lineRule="auto"/>
        <w:rPr>
          <w:rFonts w:ascii="Times New Roman" w:hAnsi="Times New Roman" w:cs="Times New Roman"/>
        </w:rPr>
      </w:pPr>
      <w:r w:rsidRPr="00F2131B">
        <w:rPr>
          <w:rFonts w:ascii="Times New Roman" w:hAnsi="Times New Roman" w:cs="Times New Roman"/>
          <w:b/>
          <w:noProof/>
          <w:lang w:eastAsia="en-AU"/>
        </w:rPr>
        <mc:AlternateContent>
          <mc:Choice Requires="wps">
            <w:drawing>
              <wp:anchor distT="0" distB="0" distL="114300" distR="114300" simplePos="0" relativeHeight="251659264" behindDoc="1" locked="0" layoutInCell="1" allowOverlap="1" wp14:anchorId="0AF4268D" wp14:editId="5377B6B4">
                <wp:simplePos x="0" y="0"/>
                <wp:positionH relativeFrom="margin">
                  <wp:posOffset>4162425</wp:posOffset>
                </wp:positionH>
                <wp:positionV relativeFrom="margin">
                  <wp:posOffset>3363595</wp:posOffset>
                </wp:positionV>
                <wp:extent cx="2374265" cy="2095500"/>
                <wp:effectExtent l="38100" t="38100" r="89535" b="95250"/>
                <wp:wrapTight wrapText="bothSides">
                  <wp:wrapPolygon edited="0">
                    <wp:start x="0" y="-393"/>
                    <wp:lineTo x="-327" y="-196"/>
                    <wp:lineTo x="-327" y="21796"/>
                    <wp:lineTo x="0" y="22385"/>
                    <wp:lineTo x="21878" y="22385"/>
                    <wp:lineTo x="22204" y="21796"/>
                    <wp:lineTo x="22204" y="2945"/>
                    <wp:lineTo x="21878" y="0"/>
                    <wp:lineTo x="21878" y="-393"/>
                    <wp:lineTo x="0" y="-393"/>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9550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rsidR="00F2131B" w:rsidRPr="00C9173A" w:rsidRDefault="00F2131B" w:rsidP="00AE2B08">
                            <w:pPr>
                              <w:jc w:val="right"/>
                              <w:rPr>
                                <w:rFonts w:ascii="Corbel" w:hAnsi="Corbel" w:cs="Times New Roman"/>
                                <w:sz w:val="18"/>
                                <w:szCs w:val="18"/>
                              </w:rPr>
                            </w:pPr>
                            <w:r w:rsidRPr="00C9173A">
                              <w:rPr>
                                <w:rFonts w:ascii="Corbel" w:hAnsi="Corbel" w:cs="Times New Roman"/>
                                <w:sz w:val="18"/>
                                <w:szCs w:val="18"/>
                              </w:rPr>
                              <w:t>The census family and household data is usually derived from information collected about people’s relationship to a reference person, their living arrangements, usual residence, and census night address.</w:t>
                            </w:r>
                          </w:p>
                          <w:p w:rsidR="00F2131B" w:rsidRPr="00C9173A" w:rsidRDefault="00F2131B" w:rsidP="00AE2B08">
                            <w:pPr>
                              <w:jc w:val="right"/>
                              <w:rPr>
                                <w:rFonts w:ascii="Corbel" w:hAnsi="Corbel" w:cs="Times New Roman"/>
                                <w:sz w:val="18"/>
                                <w:szCs w:val="18"/>
                              </w:rPr>
                            </w:pPr>
                            <w:r w:rsidRPr="00C9173A">
                              <w:rPr>
                                <w:rFonts w:ascii="Corbel" w:hAnsi="Corbel" w:cs="Times New Roman"/>
                                <w:sz w:val="18"/>
                                <w:szCs w:val="18"/>
                              </w:rPr>
                              <w:t>Derived family and household variables include household composition, whether there are extended families, child dependency status, dependent young person (</w:t>
                            </w:r>
                            <w:proofErr w:type="spellStart"/>
                            <w:r w:rsidRPr="00C9173A">
                              <w:rPr>
                                <w:rFonts w:ascii="Corbel" w:hAnsi="Corbel" w:cs="Times New Roman"/>
                                <w:sz w:val="18"/>
                                <w:szCs w:val="18"/>
                              </w:rPr>
                              <w:t>NEET</w:t>
                            </w:r>
                            <w:proofErr w:type="spellEnd"/>
                            <w:r w:rsidR="00AE2B08" w:rsidRPr="00C9173A">
                              <w:rPr>
                                <w:rFonts w:ascii="Corbel" w:hAnsi="Corbel" w:cs="Times New Roman"/>
                                <w:sz w:val="18"/>
                                <w:szCs w:val="18"/>
                              </w:rPr>
                              <w:t>*</w:t>
                            </w:r>
                            <w:r w:rsidRPr="00C9173A">
                              <w:rPr>
                                <w:rFonts w:ascii="Corbel" w:hAnsi="Corbel" w:cs="Times New Roman"/>
                                <w:sz w:val="18"/>
                                <w:szCs w:val="18"/>
                              </w:rPr>
                              <w:t xml:space="preserve">) and grandparents in a parental role. </w:t>
                            </w:r>
                          </w:p>
                          <w:p w:rsidR="00AE2B08" w:rsidRPr="00C9173A" w:rsidRDefault="00AE2B08" w:rsidP="00AE2B08">
                            <w:pPr>
                              <w:spacing w:after="0"/>
                              <w:rPr>
                                <w:rFonts w:ascii="Corbel" w:hAnsi="Corbel" w:cs="Times New Roman"/>
                                <w:i/>
                                <w:sz w:val="16"/>
                                <w:szCs w:val="18"/>
                              </w:rPr>
                            </w:pPr>
                            <w:r w:rsidRPr="00C9173A">
                              <w:rPr>
                                <w:rFonts w:ascii="Corbel" w:hAnsi="Corbel" w:cs="Times New Roman"/>
                                <w:i/>
                                <w:sz w:val="16"/>
                                <w:szCs w:val="18"/>
                              </w:rPr>
                              <w:t>* Not in Education, Employment or Training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7.75pt;margin-top:264.85pt;width:186.95pt;height:165pt;z-index:-251657216;visibility:visible;mso-wrap-style:square;mso-width-percent:400;mso-height-percent:0;mso-wrap-distance-left:9pt;mso-wrap-distance-top:0;mso-wrap-distance-right:9pt;mso-wrap-distance-bottom:0;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" stroked="f">
                <v:shadow on="t" color="black" opacity="26214f" origin="-.5,-.5" offset=".74836mm,.74836mm"/>
                <v:textbox>
                  <w:txbxContent>
                    <w:p w:rsidR="00F2131B" w:rsidRPr="00C9173A" w:rsidRDefault="00F2131B" w:rsidP="00AE2B08">
                      <w:pPr>
                        <w:jc w:val="right"/>
                        <w:rPr>
                          <w:rFonts w:ascii="Corbel" w:hAnsi="Corbel" w:cs="Times New Roman"/>
                          <w:sz w:val="18"/>
                          <w:szCs w:val="18"/>
                        </w:rPr>
                      </w:pPr>
                      <w:r w:rsidRPr="00C9173A">
                        <w:rPr>
                          <w:rFonts w:ascii="Corbel" w:hAnsi="Corbel" w:cs="Times New Roman"/>
                          <w:sz w:val="18"/>
                          <w:szCs w:val="18"/>
                        </w:rPr>
                        <w:t>The census family and household data is usually derived from information collected about people’s relationship to a reference person, their living arrangements, usual residence, and census night address.</w:t>
                      </w:r>
                    </w:p>
                    <w:p w:rsidR="00F2131B" w:rsidRPr="00C9173A" w:rsidRDefault="00F2131B" w:rsidP="00AE2B08">
                      <w:pPr>
                        <w:jc w:val="right"/>
                        <w:rPr>
                          <w:rFonts w:ascii="Corbel" w:hAnsi="Corbel" w:cs="Times New Roman"/>
                          <w:sz w:val="18"/>
                          <w:szCs w:val="18"/>
                        </w:rPr>
                      </w:pPr>
                      <w:r w:rsidRPr="00C9173A">
                        <w:rPr>
                          <w:rFonts w:ascii="Corbel" w:hAnsi="Corbel" w:cs="Times New Roman"/>
                          <w:sz w:val="18"/>
                          <w:szCs w:val="18"/>
                        </w:rPr>
                        <w:t>Derived family and household variables include household composition, whether there are extended families, child dependency status, dependent young person (</w:t>
                      </w:r>
                      <w:proofErr w:type="spellStart"/>
                      <w:r w:rsidRPr="00C9173A">
                        <w:rPr>
                          <w:rFonts w:ascii="Corbel" w:hAnsi="Corbel" w:cs="Times New Roman"/>
                          <w:sz w:val="18"/>
                          <w:szCs w:val="18"/>
                        </w:rPr>
                        <w:t>NEET</w:t>
                      </w:r>
                      <w:proofErr w:type="spellEnd"/>
                      <w:r w:rsidR="00AE2B08" w:rsidRPr="00C9173A">
                        <w:rPr>
                          <w:rFonts w:ascii="Corbel" w:hAnsi="Corbel" w:cs="Times New Roman"/>
                          <w:sz w:val="18"/>
                          <w:szCs w:val="18"/>
                        </w:rPr>
                        <w:t>*</w:t>
                      </w:r>
                      <w:r w:rsidRPr="00C9173A">
                        <w:rPr>
                          <w:rFonts w:ascii="Corbel" w:hAnsi="Corbel" w:cs="Times New Roman"/>
                          <w:sz w:val="18"/>
                          <w:szCs w:val="18"/>
                        </w:rPr>
                        <w:t xml:space="preserve">) and grandparents in a parental role. </w:t>
                      </w:r>
                    </w:p>
                    <w:p w:rsidR="00AE2B08" w:rsidRPr="00C9173A" w:rsidRDefault="00AE2B08" w:rsidP="00AE2B08">
                      <w:pPr>
                        <w:spacing w:after="0"/>
                        <w:rPr>
                          <w:rFonts w:ascii="Corbel" w:hAnsi="Corbel" w:cs="Times New Roman"/>
                          <w:i/>
                          <w:sz w:val="16"/>
                          <w:szCs w:val="18"/>
                        </w:rPr>
                      </w:pPr>
                      <w:r w:rsidRPr="00C9173A">
                        <w:rPr>
                          <w:rFonts w:ascii="Corbel" w:hAnsi="Corbel" w:cs="Times New Roman"/>
                          <w:i/>
                          <w:sz w:val="16"/>
                          <w:szCs w:val="18"/>
                        </w:rPr>
                        <w:t>* Not in Education, Employment or Training</w:t>
                      </w:r>
                    </w:p>
                  </w:txbxContent>
                </v:textbox>
                <w10:wrap type="tight" anchorx="margin" anchory="margin"/>
              </v:shape>
            </w:pict>
          </mc:Fallback>
        </mc:AlternateContent>
      </w:r>
      <w:r w:rsidR="00AA338C" w:rsidRPr="009F157A">
        <w:rPr>
          <w:rFonts w:ascii="Times New Roman" w:hAnsi="Times New Roman" w:cs="Times New Roman"/>
          <w:b/>
        </w:rPr>
        <w:t xml:space="preserve">Households and families: </w:t>
      </w:r>
      <w:r w:rsidR="009F157A" w:rsidRPr="009F157A">
        <w:rPr>
          <w:rFonts w:ascii="Times New Roman" w:hAnsi="Times New Roman" w:cs="Times New Roman"/>
        </w:rPr>
        <w:t xml:space="preserve">To identify changes in the size, structure and characteristics of family nuclei </w:t>
      </w:r>
      <w:r w:rsidR="009F157A">
        <w:rPr>
          <w:rFonts w:ascii="Times New Roman" w:hAnsi="Times New Roman" w:cs="Times New Roman"/>
        </w:rPr>
        <w:t xml:space="preserve">(or extended families) </w:t>
      </w:r>
      <w:r w:rsidR="009F157A" w:rsidRPr="009F157A">
        <w:rPr>
          <w:rFonts w:ascii="Times New Roman" w:hAnsi="Times New Roman" w:cs="Times New Roman"/>
        </w:rPr>
        <w:t xml:space="preserve">and households </w:t>
      </w:r>
      <w:r w:rsidR="009F157A">
        <w:rPr>
          <w:rFonts w:ascii="Times New Roman" w:hAnsi="Times New Roman" w:cs="Times New Roman"/>
        </w:rPr>
        <w:t>for the analysis of th</w:t>
      </w:r>
      <w:r w:rsidR="009F157A" w:rsidRPr="009F157A">
        <w:rPr>
          <w:rFonts w:ascii="Times New Roman" w:hAnsi="Times New Roman" w:cs="Times New Roman"/>
        </w:rPr>
        <w:t xml:space="preserve">e stages in the life cycle of families and households (e.g. families with young children, </w:t>
      </w:r>
      <w:r w:rsidR="009F157A">
        <w:rPr>
          <w:rFonts w:ascii="Times New Roman" w:hAnsi="Times New Roman" w:cs="Times New Roman"/>
        </w:rPr>
        <w:t>families with a sole male or female parent and so on</w:t>
      </w:r>
      <w:r w:rsidR="009F157A" w:rsidRPr="009F157A">
        <w:rPr>
          <w:rFonts w:ascii="Times New Roman" w:hAnsi="Times New Roman" w:cs="Times New Roman"/>
        </w:rPr>
        <w:t>).</w:t>
      </w:r>
      <w:r w:rsidR="009F157A" w:rsidRPr="009F157A">
        <w:t xml:space="preserve"> </w:t>
      </w:r>
      <w:r w:rsidR="009F157A" w:rsidRPr="009F157A">
        <w:rPr>
          <w:rFonts w:ascii="Times New Roman" w:hAnsi="Times New Roman" w:cs="Times New Roman"/>
        </w:rPr>
        <w:t xml:space="preserve">To </w:t>
      </w:r>
      <w:r w:rsidR="009F157A">
        <w:rPr>
          <w:rFonts w:ascii="Times New Roman" w:hAnsi="Times New Roman" w:cs="Times New Roman"/>
        </w:rPr>
        <w:t>analyse</w:t>
      </w:r>
      <w:r w:rsidR="009F157A" w:rsidRPr="009F157A">
        <w:rPr>
          <w:rFonts w:ascii="Times New Roman" w:hAnsi="Times New Roman" w:cs="Times New Roman"/>
        </w:rPr>
        <w:t xml:space="preserve"> household</w:t>
      </w:r>
      <w:r w:rsidR="009F157A">
        <w:rPr>
          <w:rFonts w:ascii="Times New Roman" w:hAnsi="Times New Roman" w:cs="Times New Roman"/>
        </w:rPr>
        <w:t>s and families</w:t>
      </w:r>
      <w:r w:rsidR="009F157A" w:rsidRPr="009F157A">
        <w:rPr>
          <w:rFonts w:ascii="Times New Roman" w:hAnsi="Times New Roman" w:cs="Times New Roman"/>
        </w:rPr>
        <w:t xml:space="preserve"> with specific characteristics, </w:t>
      </w:r>
      <w:r w:rsidR="009F157A">
        <w:rPr>
          <w:rFonts w:ascii="Times New Roman" w:hAnsi="Times New Roman" w:cs="Times New Roman"/>
        </w:rPr>
        <w:t>like</w:t>
      </w:r>
      <w:r w:rsidR="009F157A" w:rsidRPr="009F157A">
        <w:rPr>
          <w:rFonts w:ascii="Times New Roman" w:hAnsi="Times New Roman" w:cs="Times New Roman"/>
        </w:rPr>
        <w:t xml:space="preserve"> young dependent children, </w:t>
      </w:r>
      <w:r w:rsidR="00BF4F48">
        <w:rPr>
          <w:rFonts w:ascii="Times New Roman" w:hAnsi="Times New Roman" w:cs="Times New Roman"/>
        </w:rPr>
        <w:t>male and female</w:t>
      </w:r>
      <w:r w:rsidR="009F157A" w:rsidRPr="009F157A">
        <w:rPr>
          <w:rFonts w:ascii="Times New Roman" w:hAnsi="Times New Roman" w:cs="Times New Roman"/>
        </w:rPr>
        <w:t xml:space="preserve"> income earners, elderly persons with special needs, household members with disabilities and domestic servants</w:t>
      </w:r>
      <w:r w:rsidR="00BF4F48">
        <w:rPr>
          <w:rFonts w:ascii="Times New Roman" w:hAnsi="Times New Roman" w:cs="Times New Roman"/>
        </w:rPr>
        <w:t xml:space="preserve">. </w:t>
      </w:r>
      <w:r w:rsidR="003671DB">
        <w:rPr>
          <w:rFonts w:ascii="Times New Roman" w:hAnsi="Times New Roman" w:cs="Times New Roman"/>
        </w:rPr>
        <w:t>To analyse special kinds of households and living quarters such as employer provided accommodation</w:t>
      </w:r>
      <w:r w:rsidR="00683B46">
        <w:rPr>
          <w:rFonts w:ascii="Times New Roman" w:hAnsi="Times New Roman" w:cs="Times New Roman"/>
        </w:rPr>
        <w:t>, the homeless</w:t>
      </w:r>
      <w:r w:rsidR="003671DB">
        <w:rPr>
          <w:rFonts w:ascii="Times New Roman" w:hAnsi="Times New Roman" w:cs="Times New Roman"/>
        </w:rPr>
        <w:t xml:space="preserve"> and refugee camps. </w:t>
      </w:r>
      <w:r w:rsidR="00BF4F48">
        <w:rPr>
          <w:rFonts w:ascii="Times New Roman" w:hAnsi="Times New Roman" w:cs="Times New Roman"/>
        </w:rPr>
        <w:t xml:space="preserve">The sex of the head of the household (or householder, reference person, respondent </w:t>
      </w:r>
      <w:proofErr w:type="spellStart"/>
      <w:r w:rsidR="00BF4F48">
        <w:rPr>
          <w:rFonts w:ascii="Times New Roman" w:hAnsi="Times New Roman" w:cs="Times New Roman"/>
        </w:rPr>
        <w:t>etc</w:t>
      </w:r>
      <w:proofErr w:type="spellEnd"/>
      <w:r w:rsidR="00BF4F48">
        <w:rPr>
          <w:rFonts w:ascii="Times New Roman" w:hAnsi="Times New Roman" w:cs="Times New Roman"/>
        </w:rPr>
        <w:t xml:space="preserve">) can then be used as a further unit of analysis. </w:t>
      </w:r>
      <w:r w:rsidR="00375349">
        <w:rPr>
          <w:rFonts w:ascii="Times New Roman" w:hAnsi="Times New Roman" w:cs="Times New Roman"/>
        </w:rPr>
        <w:t xml:space="preserve">Examples of questions included in </w:t>
      </w:r>
      <w:r w:rsidR="00375349" w:rsidRPr="00375349">
        <w:rPr>
          <w:rFonts w:ascii="Times New Roman" w:hAnsi="Times New Roman" w:cs="Times New Roman"/>
          <w:b/>
        </w:rPr>
        <w:t>Annex 2</w:t>
      </w:r>
      <w:r w:rsidR="00375349">
        <w:rPr>
          <w:rFonts w:ascii="Times New Roman" w:hAnsi="Times New Roman" w:cs="Times New Roman"/>
        </w:rPr>
        <w:t xml:space="preserve">. </w:t>
      </w:r>
    </w:p>
    <w:p w:rsidR="004F5F45" w:rsidRPr="0044718D" w:rsidRDefault="004F5F45" w:rsidP="004F5F45">
      <w:pPr>
        <w:pStyle w:val="NoSpacing"/>
        <w:numPr>
          <w:ilvl w:val="0"/>
          <w:numId w:val="5"/>
        </w:numPr>
        <w:spacing w:after="200" w:line="264" w:lineRule="auto"/>
        <w:rPr>
          <w:rFonts w:ascii="Times New Roman" w:hAnsi="Times New Roman" w:cs="Times New Roman"/>
        </w:rPr>
      </w:pPr>
      <w:r w:rsidRPr="00F2131B">
        <w:rPr>
          <w:rFonts w:ascii="Times New Roman" w:hAnsi="Times New Roman" w:cs="Times New Roman"/>
          <w:b/>
        </w:rPr>
        <w:t>Work, Economic Activities and Employment Benefits:</w:t>
      </w:r>
      <w:r w:rsidRPr="0044718D">
        <w:rPr>
          <w:rFonts w:ascii="Times New Roman" w:hAnsi="Times New Roman" w:cs="Times New Roman"/>
        </w:rPr>
        <w:t xml:space="preserve"> </w:t>
      </w:r>
      <w:r w:rsidR="00683B46">
        <w:rPr>
          <w:rFonts w:ascii="Times New Roman" w:hAnsi="Times New Roman" w:cs="Times New Roman"/>
        </w:rPr>
        <w:t xml:space="preserve">To analyse population sub-groups such as </w:t>
      </w:r>
      <w:r>
        <w:rPr>
          <w:rFonts w:ascii="Times New Roman" w:hAnsi="Times New Roman" w:cs="Times New Roman"/>
        </w:rPr>
        <w:t xml:space="preserve">migrant and seasonal workers, </w:t>
      </w:r>
      <w:r w:rsidRPr="0044718D">
        <w:rPr>
          <w:rFonts w:ascii="Times New Roman" w:hAnsi="Times New Roman" w:cs="Times New Roman"/>
        </w:rPr>
        <w:t>disaggregation of the economically inactive population by reason</w:t>
      </w:r>
      <w:r w:rsidR="00683B46">
        <w:rPr>
          <w:rFonts w:ascii="Times New Roman" w:hAnsi="Times New Roman" w:cs="Times New Roman"/>
        </w:rPr>
        <w:t>,</w:t>
      </w:r>
      <w:r w:rsidRPr="0044718D">
        <w:rPr>
          <w:rFonts w:ascii="Times New Roman" w:hAnsi="Times New Roman" w:cs="Times New Roman"/>
        </w:rPr>
        <w:t xml:space="preserve"> care-giving activities</w:t>
      </w:r>
      <w:r>
        <w:rPr>
          <w:rFonts w:ascii="Times New Roman" w:hAnsi="Times New Roman" w:cs="Times New Roman"/>
        </w:rPr>
        <w:t xml:space="preserve"> and other forms of unpaid work in the home for household members and people living outside the household. Examples of questions included in </w:t>
      </w:r>
      <w:r w:rsidRPr="00375349">
        <w:rPr>
          <w:rFonts w:ascii="Times New Roman" w:hAnsi="Times New Roman" w:cs="Times New Roman"/>
          <w:b/>
        </w:rPr>
        <w:t>Annex 2</w:t>
      </w:r>
      <w:r>
        <w:rPr>
          <w:rFonts w:ascii="Times New Roman" w:hAnsi="Times New Roman" w:cs="Times New Roman"/>
        </w:rPr>
        <w:t>.</w:t>
      </w:r>
    </w:p>
    <w:p w:rsidR="00A22C9D" w:rsidRDefault="00A22C9D" w:rsidP="009F157A">
      <w:pPr>
        <w:pStyle w:val="NoSpacing"/>
        <w:numPr>
          <w:ilvl w:val="0"/>
          <w:numId w:val="5"/>
        </w:numPr>
        <w:spacing w:after="200" w:line="264" w:lineRule="auto"/>
        <w:rPr>
          <w:rFonts w:ascii="Times New Roman" w:hAnsi="Times New Roman" w:cs="Times New Roman"/>
        </w:rPr>
      </w:pPr>
      <w:r w:rsidRPr="00F2131B">
        <w:rPr>
          <w:rFonts w:ascii="Times New Roman" w:hAnsi="Times New Roman" w:cs="Times New Roman"/>
          <w:b/>
        </w:rPr>
        <w:t>Income, Poverty and Living Conditions:</w:t>
      </w:r>
      <w:r>
        <w:rPr>
          <w:rFonts w:ascii="Times New Roman" w:hAnsi="Times New Roman" w:cs="Times New Roman"/>
        </w:rPr>
        <w:t xml:space="preserve"> </w:t>
      </w:r>
      <w:r w:rsidR="00F2131B">
        <w:rPr>
          <w:rFonts w:ascii="Times New Roman" w:hAnsi="Times New Roman" w:cs="Times New Roman"/>
        </w:rPr>
        <w:t>very few</w:t>
      </w:r>
      <w:r>
        <w:rPr>
          <w:rFonts w:ascii="Times New Roman" w:hAnsi="Times New Roman" w:cs="Times New Roman"/>
        </w:rPr>
        <w:t xml:space="preserve"> </w:t>
      </w:r>
      <w:proofErr w:type="spellStart"/>
      <w:r>
        <w:rPr>
          <w:rFonts w:ascii="Times New Roman" w:hAnsi="Times New Roman" w:cs="Times New Roman"/>
        </w:rPr>
        <w:t>PICs</w:t>
      </w:r>
      <w:proofErr w:type="spellEnd"/>
      <w:r>
        <w:rPr>
          <w:rFonts w:ascii="Times New Roman" w:hAnsi="Times New Roman" w:cs="Times New Roman"/>
        </w:rPr>
        <w:t xml:space="preserve"> collect income in the census. Poverty can be analysed from the census in terms of the population (male, female, young and old), households and families with unmet basic needs (or wellbeing), ownership of durables, vulnerability of housing materials, use of renewable or ‘clean’ sources of </w:t>
      </w:r>
      <w:r w:rsidR="0044718D">
        <w:rPr>
          <w:rFonts w:ascii="Times New Roman" w:hAnsi="Times New Roman" w:cs="Times New Roman"/>
        </w:rPr>
        <w:t xml:space="preserve">electricity and energy, out of school girls and boys and so on. </w:t>
      </w:r>
      <w:r w:rsidR="00F2131B">
        <w:rPr>
          <w:rFonts w:ascii="Times New Roman" w:hAnsi="Times New Roman" w:cs="Times New Roman"/>
        </w:rPr>
        <w:t xml:space="preserve">For those </w:t>
      </w:r>
      <w:proofErr w:type="spellStart"/>
      <w:r w:rsidR="00F2131B">
        <w:rPr>
          <w:rFonts w:ascii="Times New Roman" w:hAnsi="Times New Roman" w:cs="Times New Roman"/>
        </w:rPr>
        <w:t>PICs</w:t>
      </w:r>
      <w:proofErr w:type="spellEnd"/>
      <w:r w:rsidR="00F2131B">
        <w:rPr>
          <w:rFonts w:ascii="Times New Roman" w:hAnsi="Times New Roman" w:cs="Times New Roman"/>
        </w:rPr>
        <w:t xml:space="preserve"> collecting income</w:t>
      </w:r>
      <w:r w:rsidR="00683B46">
        <w:rPr>
          <w:rFonts w:ascii="Times New Roman" w:hAnsi="Times New Roman" w:cs="Times New Roman"/>
        </w:rPr>
        <w:t>,</w:t>
      </w:r>
      <w:r w:rsidR="00F2131B">
        <w:rPr>
          <w:rFonts w:ascii="Times New Roman" w:hAnsi="Times New Roman" w:cs="Times New Roman"/>
        </w:rPr>
        <w:t xml:space="preserve"> poverty can be analysed in terms of the socio-economic characteristics lowest 25% of households (</w:t>
      </w:r>
      <w:proofErr w:type="spellStart"/>
      <w:r w:rsidR="00F2131B">
        <w:rPr>
          <w:rFonts w:ascii="Times New Roman" w:hAnsi="Times New Roman" w:cs="Times New Roman"/>
        </w:rPr>
        <w:t>equivalised</w:t>
      </w:r>
      <w:proofErr w:type="spellEnd"/>
      <w:r w:rsidR="00F2131B">
        <w:rPr>
          <w:rFonts w:ascii="Times New Roman" w:hAnsi="Times New Roman" w:cs="Times New Roman"/>
        </w:rPr>
        <w:t xml:space="preserve">) income, source of income </w:t>
      </w:r>
      <w:r w:rsidR="00A71342">
        <w:rPr>
          <w:rFonts w:ascii="Times New Roman" w:hAnsi="Times New Roman" w:cs="Times New Roman"/>
        </w:rPr>
        <w:t xml:space="preserve">(wages/salary, business drawings (profit), remittances, pension/superannuation, welfare payments, </w:t>
      </w:r>
      <w:proofErr w:type="spellStart"/>
      <w:r w:rsidR="00A71342">
        <w:rPr>
          <w:rFonts w:ascii="Times New Roman" w:hAnsi="Times New Roman" w:cs="Times New Roman"/>
        </w:rPr>
        <w:t>etc</w:t>
      </w:r>
      <w:proofErr w:type="spellEnd"/>
      <w:r w:rsidR="00A71342">
        <w:rPr>
          <w:rFonts w:ascii="Times New Roman" w:hAnsi="Times New Roman" w:cs="Times New Roman"/>
        </w:rPr>
        <w:t xml:space="preserve">), </w:t>
      </w:r>
      <w:r w:rsidR="00F2131B">
        <w:rPr>
          <w:rFonts w:ascii="Times New Roman" w:hAnsi="Times New Roman" w:cs="Times New Roman"/>
        </w:rPr>
        <w:t xml:space="preserve">etc. </w:t>
      </w:r>
    </w:p>
    <w:p w:rsidR="00203324" w:rsidRDefault="00203324">
      <w:pPr>
        <w:rPr>
          <w:rFonts w:ascii="Times New Roman" w:hAnsi="Times New Roman" w:cs="Times New Roman"/>
          <w:b/>
        </w:rPr>
      </w:pPr>
      <w:r>
        <w:br w:type="page"/>
      </w:r>
    </w:p>
    <w:p w:rsidR="003671DB" w:rsidRPr="0086503D" w:rsidRDefault="00203324" w:rsidP="00203324">
      <w:pPr>
        <w:pStyle w:val="Heading1"/>
        <w:rPr>
          <w:caps/>
        </w:rPr>
      </w:pPr>
      <w:r w:rsidRPr="0086503D">
        <w:rPr>
          <w:caps/>
        </w:rPr>
        <w:lastRenderedPageBreak/>
        <w:t>UNESCO Framework for Cultural Statistics</w:t>
      </w:r>
      <w:r w:rsidRPr="0086503D">
        <w:rPr>
          <w:rStyle w:val="FootnoteReference"/>
          <w:caps/>
        </w:rPr>
        <w:footnoteReference w:id="2"/>
      </w:r>
      <w:r w:rsidRPr="0086503D">
        <w:rPr>
          <w:caps/>
        </w:rPr>
        <w:t xml:space="preserve"> </w:t>
      </w:r>
    </w:p>
    <w:p w:rsidR="003671DB" w:rsidRDefault="003671DB" w:rsidP="003671DB">
      <w:pPr>
        <w:pStyle w:val="NoSpacing"/>
        <w:numPr>
          <w:ilvl w:val="1"/>
          <w:numId w:val="2"/>
        </w:numPr>
        <w:spacing w:after="200" w:line="264" w:lineRule="auto"/>
        <w:ind w:left="0" w:firstLine="0"/>
        <w:rPr>
          <w:rFonts w:ascii="Times New Roman" w:hAnsi="Times New Roman" w:cs="Times New Roman"/>
        </w:rPr>
      </w:pPr>
      <w:r w:rsidRPr="00FB1436">
        <w:rPr>
          <w:rFonts w:ascii="Times New Roman" w:hAnsi="Times New Roman" w:cs="Times New Roman"/>
        </w:rPr>
        <w:t xml:space="preserve">Culture is the set of distinctive spiritual, material, intellectual and emotional features of society or a social </w:t>
      </w:r>
      <w:proofErr w:type="gramStart"/>
      <w:r w:rsidRPr="00FB1436">
        <w:rPr>
          <w:rFonts w:ascii="Times New Roman" w:hAnsi="Times New Roman" w:cs="Times New Roman"/>
        </w:rPr>
        <w:t>group, that</w:t>
      </w:r>
      <w:proofErr w:type="gramEnd"/>
      <w:r w:rsidRPr="00FB1436">
        <w:rPr>
          <w:rFonts w:ascii="Times New Roman" w:hAnsi="Times New Roman" w:cs="Times New Roman"/>
        </w:rPr>
        <w:t xml:space="preserve"> encompasses, not only art and literature, but lifestyles, ways of living together, value systems, traditions and beliefs</w:t>
      </w:r>
      <w:r>
        <w:rPr>
          <w:rFonts w:ascii="Times New Roman" w:hAnsi="Times New Roman" w:cs="Times New Roman"/>
        </w:rPr>
        <w:t xml:space="preserve"> (UNESCO, 2001). Culture defines societies and for the census the ‘head of the household’ is often defined by culture, as are </w:t>
      </w:r>
      <w:r>
        <w:rPr>
          <w:rFonts w:ascii="ACaslonPro-Regular" w:hAnsi="ACaslonPro-Regular" w:cs="ACaslonPro-Regular"/>
        </w:rPr>
        <w:t>people’s roles and responsibilities, social structures and stratification, gender identity, marriage or consensual unions, remarriage and age at first marriage, fertility and so on</w:t>
      </w:r>
      <w:r>
        <w:rPr>
          <w:rFonts w:ascii="Times New Roman" w:hAnsi="Times New Roman" w:cs="Times New Roman"/>
        </w:rPr>
        <w:t xml:space="preserve">. </w:t>
      </w:r>
    </w:p>
    <w:p w:rsidR="003671DB" w:rsidRDefault="003671DB" w:rsidP="003671DB">
      <w:pPr>
        <w:pStyle w:val="NoSpacing"/>
        <w:numPr>
          <w:ilvl w:val="1"/>
          <w:numId w:val="2"/>
        </w:numPr>
        <w:spacing w:after="200" w:line="264" w:lineRule="auto"/>
        <w:ind w:left="0" w:firstLine="0"/>
        <w:rPr>
          <w:rFonts w:ascii="Times New Roman" w:hAnsi="Times New Roman" w:cs="Times New Roman"/>
        </w:rPr>
      </w:pPr>
      <w:r w:rsidRPr="00FB1436">
        <w:rPr>
          <w:rFonts w:ascii="Times New Roman" w:hAnsi="Times New Roman" w:cs="Times New Roman"/>
        </w:rPr>
        <w:t xml:space="preserve">The United Nations Educational, Scientific and Cultural Organization (UNESCO) Framework for Cultural Statistics (FCS) is a tool for organizing cultural statistics nationally, regionally and internationally. The FCS defines culture through the identification and measurement of the behaviours and practices resulting from the beliefs and values of a </w:t>
      </w:r>
      <w:r>
        <w:rPr>
          <w:rFonts w:ascii="Times New Roman" w:hAnsi="Times New Roman" w:cs="Times New Roman"/>
        </w:rPr>
        <w:t>society or a social group in seven thematic areas: cultural and natural heritage, performance and celebration, visual arts and crafts, books and press, audio-visual and interactive media and design and creative services with intangible cultural heritage an aspect of all areas. Tourism and sports and recreation are defined as related domains. A person’s occupation (</w:t>
      </w:r>
      <w:proofErr w:type="spellStart"/>
      <w:r>
        <w:rPr>
          <w:rFonts w:ascii="Times New Roman" w:hAnsi="Times New Roman" w:cs="Times New Roman"/>
        </w:rPr>
        <w:t>ISCO</w:t>
      </w:r>
      <w:proofErr w:type="spellEnd"/>
      <w:r>
        <w:rPr>
          <w:rFonts w:ascii="Times New Roman" w:hAnsi="Times New Roman" w:cs="Times New Roman"/>
        </w:rPr>
        <w:t xml:space="preserve">) and/or economic activity (ISIC) can be used from the census data to analyse cultural industries, noting that a cultural occupation could be a secondary type of work or employment and that </w:t>
      </w:r>
      <w:r w:rsidRPr="006A4AA5">
        <w:rPr>
          <w:rFonts w:ascii="Times New Roman" w:hAnsi="Times New Roman" w:cs="Times New Roman"/>
        </w:rPr>
        <w:t>volunteer and non-paid activities often play an important role in cultural</w:t>
      </w:r>
      <w:r>
        <w:rPr>
          <w:rFonts w:ascii="Times New Roman" w:hAnsi="Times New Roman" w:cs="Times New Roman"/>
        </w:rPr>
        <w:t xml:space="preserve"> </w:t>
      </w:r>
      <w:r w:rsidRPr="006A4AA5">
        <w:rPr>
          <w:rFonts w:ascii="Times New Roman" w:hAnsi="Times New Roman" w:cs="Times New Roman"/>
        </w:rPr>
        <w:t>employment</w:t>
      </w:r>
      <w:r>
        <w:rPr>
          <w:rFonts w:ascii="Times New Roman" w:hAnsi="Times New Roman" w:cs="Times New Roman"/>
        </w:rPr>
        <w:t xml:space="preserve">. </w:t>
      </w:r>
    </w:p>
    <w:p w:rsidR="003671DB" w:rsidRDefault="003671DB" w:rsidP="003671DB">
      <w:pPr>
        <w:pStyle w:val="NoSpacing"/>
        <w:numPr>
          <w:ilvl w:val="1"/>
          <w:numId w:val="2"/>
        </w:numPr>
        <w:spacing w:after="200" w:line="264" w:lineRule="auto"/>
        <w:ind w:left="0" w:firstLine="0"/>
        <w:rPr>
          <w:rFonts w:ascii="Times New Roman" w:hAnsi="Times New Roman" w:cs="Times New Roman"/>
        </w:rPr>
      </w:pPr>
      <w:r w:rsidRPr="00CC0821">
        <w:rPr>
          <w:rFonts w:ascii="Times New Roman" w:hAnsi="Times New Roman" w:cs="Times New Roman"/>
        </w:rPr>
        <w:t xml:space="preserve">Languages are one of the </w:t>
      </w:r>
      <w:r>
        <w:rPr>
          <w:rFonts w:ascii="Times New Roman" w:hAnsi="Times New Roman" w:cs="Times New Roman"/>
        </w:rPr>
        <w:t>ways</w:t>
      </w:r>
      <w:r w:rsidRPr="00CC0821">
        <w:rPr>
          <w:rFonts w:ascii="Times New Roman" w:hAnsi="Times New Roman" w:cs="Times New Roman"/>
        </w:rPr>
        <w:t xml:space="preserve"> intangible cultural heritage is expressed and transmitted and a way of </w:t>
      </w:r>
      <w:r>
        <w:rPr>
          <w:rFonts w:ascii="Times New Roman" w:hAnsi="Times New Roman" w:cs="Times New Roman"/>
        </w:rPr>
        <w:t>comprehending</w:t>
      </w:r>
      <w:r w:rsidRPr="00CC0821">
        <w:rPr>
          <w:rFonts w:ascii="Times New Roman" w:hAnsi="Times New Roman" w:cs="Times New Roman"/>
        </w:rPr>
        <w:t xml:space="preserve"> and understanding the universe and the social and natural environment of a given group.</w:t>
      </w:r>
      <w:r>
        <w:rPr>
          <w:rFonts w:ascii="Times New Roman" w:hAnsi="Times New Roman" w:cs="Times New Roman"/>
        </w:rPr>
        <w:t xml:space="preserve"> In the census </w:t>
      </w:r>
      <w:r w:rsidRPr="00CC0821">
        <w:rPr>
          <w:rFonts w:ascii="Times New Roman" w:hAnsi="Times New Roman" w:cs="Times New Roman"/>
        </w:rPr>
        <w:t>three types of language data typically collected</w:t>
      </w:r>
      <w:r>
        <w:rPr>
          <w:rFonts w:ascii="Times New Roman" w:hAnsi="Times New Roman" w:cs="Times New Roman"/>
        </w:rPr>
        <w:t xml:space="preserve"> </w:t>
      </w:r>
      <w:r w:rsidRPr="00CC0821">
        <w:rPr>
          <w:rFonts w:ascii="Times New Roman" w:hAnsi="Times New Roman" w:cs="Times New Roman"/>
        </w:rPr>
        <w:t>are</w:t>
      </w:r>
      <w:r>
        <w:rPr>
          <w:rFonts w:ascii="Times New Roman" w:hAnsi="Times New Roman" w:cs="Times New Roman"/>
        </w:rPr>
        <w:t xml:space="preserve"> mother tongue (</w:t>
      </w:r>
      <w:r w:rsidRPr="00CC0821">
        <w:rPr>
          <w:rFonts w:ascii="Times New Roman" w:hAnsi="Times New Roman" w:cs="Times New Roman"/>
        </w:rPr>
        <w:t>the language usually spoken in the individual's home in his or her early childhood), usual language (the language currently spoken, or most often spoken, by the individual in his or her present home), and ability to speak one or more designated languages.</w:t>
      </w:r>
    </w:p>
    <w:p w:rsidR="003671DB" w:rsidRDefault="003671DB" w:rsidP="003671DB">
      <w:pPr>
        <w:pStyle w:val="NoSpacing"/>
        <w:numPr>
          <w:ilvl w:val="1"/>
          <w:numId w:val="2"/>
        </w:numPr>
        <w:spacing w:after="200" w:line="264" w:lineRule="auto"/>
        <w:ind w:left="0" w:firstLine="0"/>
        <w:rPr>
          <w:rFonts w:ascii="Times New Roman" w:hAnsi="Times New Roman" w:cs="Times New Roman"/>
        </w:rPr>
      </w:pPr>
      <w:r>
        <w:rPr>
          <w:rFonts w:ascii="Times New Roman" w:hAnsi="Times New Roman" w:cs="Times New Roman"/>
        </w:rPr>
        <w:t xml:space="preserve">The Cook Islands collects census information on cultural capital and social capital in questions about historical objects (artefacts), traditional cooking, cultural activities and unpaid work (handicraft making) as well as languages able to have a conversation about a lot of everyday things. Examples of questions included in </w:t>
      </w:r>
      <w:r w:rsidRPr="00375349">
        <w:rPr>
          <w:rFonts w:ascii="Times New Roman" w:hAnsi="Times New Roman" w:cs="Times New Roman"/>
          <w:b/>
        </w:rPr>
        <w:t>Annex 2</w:t>
      </w:r>
      <w:r>
        <w:rPr>
          <w:rFonts w:ascii="Times New Roman" w:hAnsi="Times New Roman" w:cs="Times New Roman"/>
        </w:rPr>
        <w:t xml:space="preserve">. </w:t>
      </w:r>
    </w:p>
    <w:p w:rsidR="00124168" w:rsidRPr="0086503D" w:rsidRDefault="00124168" w:rsidP="00124168">
      <w:pPr>
        <w:pStyle w:val="Heading1"/>
        <w:ind w:left="357" w:hanging="357"/>
        <w:rPr>
          <w:caps/>
        </w:rPr>
      </w:pPr>
      <w:r w:rsidRPr="0086503D">
        <w:rPr>
          <w:caps/>
        </w:rPr>
        <w:t>Youth</w:t>
      </w:r>
    </w:p>
    <w:p w:rsidR="00124168" w:rsidRDefault="00124168" w:rsidP="000416A0">
      <w:pPr>
        <w:pStyle w:val="NoSpacing"/>
        <w:numPr>
          <w:ilvl w:val="1"/>
          <w:numId w:val="2"/>
        </w:numPr>
        <w:spacing w:after="200" w:line="264" w:lineRule="auto"/>
        <w:ind w:left="0" w:firstLine="0"/>
        <w:rPr>
          <w:rFonts w:ascii="Times New Roman" w:hAnsi="Times New Roman" w:cs="Times New Roman"/>
        </w:rPr>
      </w:pPr>
      <w:r>
        <w:rPr>
          <w:rFonts w:ascii="Times New Roman" w:hAnsi="Times New Roman" w:cs="Times New Roman"/>
        </w:rPr>
        <w:t xml:space="preserve">The analysis of the youth population sub-group should be mainstreamed across all census outputs to include the analysis of </w:t>
      </w:r>
      <w:r w:rsidR="00D84C5D">
        <w:rPr>
          <w:rFonts w:ascii="Times New Roman" w:hAnsi="Times New Roman" w:cs="Times New Roman"/>
        </w:rPr>
        <w:t xml:space="preserve">population growth rates, </w:t>
      </w:r>
      <w:r>
        <w:rPr>
          <w:rFonts w:ascii="Times New Roman" w:hAnsi="Times New Roman" w:cs="Times New Roman"/>
        </w:rPr>
        <w:t xml:space="preserve">residence, birth place, migration, </w:t>
      </w:r>
      <w:r w:rsidR="00D84C5D">
        <w:rPr>
          <w:rFonts w:ascii="Times New Roman" w:hAnsi="Times New Roman" w:cs="Times New Roman"/>
        </w:rPr>
        <w:t xml:space="preserve">living arrangements, </w:t>
      </w:r>
      <w:r>
        <w:rPr>
          <w:rFonts w:ascii="Times New Roman" w:hAnsi="Times New Roman" w:cs="Times New Roman"/>
        </w:rPr>
        <w:t xml:space="preserve">labour force status, work and employment status, education and training, languages spoken, </w:t>
      </w:r>
      <w:r w:rsidR="00D84C5D">
        <w:rPr>
          <w:rFonts w:ascii="Times New Roman" w:hAnsi="Times New Roman" w:cs="Times New Roman"/>
        </w:rPr>
        <w:t xml:space="preserve">teenage fertility and so on. The analysis should </w:t>
      </w:r>
      <w:r w:rsidR="000416A0">
        <w:rPr>
          <w:rFonts w:ascii="Times New Roman" w:hAnsi="Times New Roman" w:cs="Times New Roman"/>
        </w:rPr>
        <w:t>take into account</w:t>
      </w:r>
      <w:r w:rsidR="00D84C5D">
        <w:rPr>
          <w:rFonts w:ascii="Times New Roman" w:hAnsi="Times New Roman" w:cs="Times New Roman"/>
        </w:rPr>
        <w:t xml:space="preserve"> the different ‘transition’ ages </w:t>
      </w:r>
      <w:r w:rsidR="000416A0">
        <w:rPr>
          <w:rFonts w:ascii="Times New Roman" w:hAnsi="Times New Roman" w:cs="Times New Roman"/>
        </w:rPr>
        <w:t>for youth in terms of education and training, employment, migration, marriage (including de facto), household and family formation and so on</w:t>
      </w:r>
      <w:r w:rsidR="00E702F5">
        <w:rPr>
          <w:rFonts w:ascii="Times New Roman" w:hAnsi="Times New Roman" w:cs="Times New Roman"/>
        </w:rPr>
        <w:t xml:space="preserve"> as done in the Vanuatu Youth Monograph which provides a comprehensive situation analysis of youth from the 2009 Census</w:t>
      </w:r>
      <w:r w:rsidR="00375286">
        <w:rPr>
          <w:rStyle w:val="FootnoteReference"/>
          <w:rFonts w:ascii="Times New Roman" w:hAnsi="Times New Roman" w:cs="Times New Roman"/>
        </w:rPr>
        <w:footnoteReference w:id="3"/>
      </w:r>
      <w:r w:rsidR="000416A0">
        <w:rPr>
          <w:rFonts w:ascii="Times New Roman" w:hAnsi="Times New Roman" w:cs="Times New Roman"/>
        </w:rPr>
        <w:t xml:space="preserve">.  </w:t>
      </w:r>
      <w:r w:rsidR="00D84C5D">
        <w:rPr>
          <w:rFonts w:ascii="Times New Roman" w:hAnsi="Times New Roman" w:cs="Times New Roman"/>
        </w:rPr>
        <w:t xml:space="preserve"> </w:t>
      </w:r>
      <w:r>
        <w:rPr>
          <w:rFonts w:ascii="Times New Roman" w:hAnsi="Times New Roman" w:cs="Times New Roman"/>
        </w:rPr>
        <w:t xml:space="preserve"> </w:t>
      </w:r>
    </w:p>
    <w:p w:rsidR="00E702F5" w:rsidRDefault="00E702F5" w:rsidP="00E702F5">
      <w:pPr>
        <w:pStyle w:val="NoSpacing"/>
        <w:numPr>
          <w:ilvl w:val="1"/>
          <w:numId w:val="2"/>
        </w:numPr>
        <w:spacing w:after="200" w:line="264" w:lineRule="auto"/>
        <w:ind w:left="0" w:firstLine="0"/>
        <w:rPr>
          <w:rFonts w:ascii="Times New Roman" w:hAnsi="Times New Roman" w:cs="Times New Roman"/>
        </w:rPr>
      </w:pPr>
      <w:r>
        <w:rPr>
          <w:rFonts w:ascii="Times New Roman" w:hAnsi="Times New Roman" w:cs="Times New Roman"/>
        </w:rPr>
        <w:t xml:space="preserve">The international standard definition of youth is 15-24 years, however in some </w:t>
      </w:r>
      <w:proofErr w:type="spellStart"/>
      <w:r>
        <w:rPr>
          <w:rFonts w:ascii="Times New Roman" w:hAnsi="Times New Roman" w:cs="Times New Roman"/>
        </w:rPr>
        <w:t>PICs</w:t>
      </w:r>
      <w:proofErr w:type="spellEnd"/>
      <w:r>
        <w:rPr>
          <w:rFonts w:ascii="Times New Roman" w:hAnsi="Times New Roman" w:cs="Times New Roman"/>
        </w:rPr>
        <w:t xml:space="preserve"> the age group is defined by national policies or relevance criteria, such as teenage pregnancy rates reported for the age group 19 years and younger (Cook Islands) or labour force participation using the population aged 12 years and over (Solomon Islands). </w:t>
      </w:r>
    </w:p>
    <w:p w:rsidR="00375286" w:rsidRDefault="00375286" w:rsidP="00375286">
      <w:pPr>
        <w:rPr>
          <w:rFonts w:ascii="Times New Roman" w:hAnsi="Times New Roman" w:cs="Times New Roman"/>
        </w:rPr>
      </w:pPr>
      <w:r>
        <w:rPr>
          <w:rFonts w:ascii="Times New Roman" w:hAnsi="Times New Roman" w:cs="Times New Roman"/>
        </w:rPr>
        <w:br w:type="page"/>
      </w:r>
    </w:p>
    <w:p w:rsidR="0086503D" w:rsidRPr="0086503D" w:rsidRDefault="0086503D" w:rsidP="0086503D">
      <w:pPr>
        <w:pStyle w:val="Heading1"/>
        <w:ind w:left="357" w:hanging="357"/>
        <w:rPr>
          <w:caps/>
        </w:rPr>
      </w:pPr>
      <w:r w:rsidRPr="0086503D">
        <w:rPr>
          <w:caps/>
        </w:rPr>
        <w:lastRenderedPageBreak/>
        <w:t xml:space="preserve">Commonwealth Youth Development Index </w:t>
      </w:r>
    </w:p>
    <w:p w:rsidR="00E702F5" w:rsidRDefault="00E702F5" w:rsidP="00E702F5">
      <w:pPr>
        <w:pStyle w:val="NoSpacing"/>
        <w:numPr>
          <w:ilvl w:val="1"/>
          <w:numId w:val="2"/>
        </w:numPr>
        <w:spacing w:after="200" w:line="264" w:lineRule="auto"/>
        <w:ind w:left="0" w:firstLine="0"/>
        <w:rPr>
          <w:rFonts w:ascii="Times New Roman" w:hAnsi="Times New Roman" w:cs="Times New Roman"/>
        </w:rPr>
      </w:pPr>
      <w:r w:rsidRPr="00E702F5">
        <w:rPr>
          <w:rFonts w:ascii="Times New Roman" w:hAnsi="Times New Roman" w:cs="Times New Roman"/>
        </w:rPr>
        <w:t>The Commonwealth Youth Development Index</w:t>
      </w:r>
      <w:r>
        <w:rPr>
          <w:rFonts w:ascii="Times New Roman" w:hAnsi="Times New Roman" w:cs="Times New Roman"/>
        </w:rPr>
        <w:t xml:space="preserve"> (</w:t>
      </w:r>
      <w:proofErr w:type="spellStart"/>
      <w:r>
        <w:rPr>
          <w:rFonts w:ascii="Times New Roman" w:hAnsi="Times New Roman" w:cs="Times New Roman"/>
        </w:rPr>
        <w:t>YDI</w:t>
      </w:r>
      <w:proofErr w:type="spellEnd"/>
      <w:r>
        <w:rPr>
          <w:rFonts w:ascii="Times New Roman" w:hAnsi="Times New Roman" w:cs="Times New Roman"/>
        </w:rPr>
        <w:t>)</w:t>
      </w:r>
      <w:r>
        <w:rPr>
          <w:rStyle w:val="FootnoteReference"/>
          <w:rFonts w:ascii="Times New Roman" w:hAnsi="Times New Roman" w:cs="Times New Roman"/>
        </w:rPr>
        <w:footnoteReference w:id="4"/>
      </w:r>
      <w:r w:rsidRPr="00E702F5">
        <w:rPr>
          <w:rFonts w:ascii="Times New Roman" w:hAnsi="Times New Roman" w:cs="Times New Roman"/>
        </w:rPr>
        <w:t xml:space="preserve"> provides a framework for monitoring youth development across five domains</w:t>
      </w:r>
      <w:r w:rsidR="00683B46">
        <w:rPr>
          <w:rFonts w:ascii="Times New Roman" w:hAnsi="Times New Roman" w:cs="Times New Roman"/>
        </w:rPr>
        <w:t>:</w:t>
      </w:r>
      <w:r w:rsidRPr="00E702F5">
        <w:rPr>
          <w:rFonts w:ascii="Times New Roman" w:hAnsi="Times New Roman" w:cs="Times New Roman"/>
        </w:rPr>
        <w:t xml:space="preserve"> education</w:t>
      </w:r>
      <w:r w:rsidR="00683B46">
        <w:rPr>
          <w:rFonts w:ascii="Times New Roman" w:hAnsi="Times New Roman" w:cs="Times New Roman"/>
        </w:rPr>
        <w:t>;</w:t>
      </w:r>
      <w:r w:rsidRPr="00E702F5">
        <w:rPr>
          <w:rFonts w:ascii="Times New Roman" w:hAnsi="Times New Roman" w:cs="Times New Roman"/>
        </w:rPr>
        <w:t xml:space="preserve"> health and wellbeing</w:t>
      </w:r>
      <w:r w:rsidR="00683B46">
        <w:rPr>
          <w:rFonts w:ascii="Times New Roman" w:hAnsi="Times New Roman" w:cs="Times New Roman"/>
        </w:rPr>
        <w:t>;</w:t>
      </w:r>
      <w:r w:rsidRPr="00E702F5">
        <w:rPr>
          <w:rFonts w:ascii="Times New Roman" w:hAnsi="Times New Roman" w:cs="Times New Roman"/>
        </w:rPr>
        <w:t xml:space="preserve"> employment</w:t>
      </w:r>
      <w:r w:rsidR="00683B46">
        <w:rPr>
          <w:rFonts w:ascii="Times New Roman" w:hAnsi="Times New Roman" w:cs="Times New Roman"/>
        </w:rPr>
        <w:t>;</w:t>
      </w:r>
      <w:r w:rsidRPr="00E702F5">
        <w:rPr>
          <w:rFonts w:ascii="Times New Roman" w:hAnsi="Times New Roman" w:cs="Times New Roman"/>
        </w:rPr>
        <w:t xml:space="preserve"> political participation</w:t>
      </w:r>
      <w:r w:rsidR="00683B46">
        <w:rPr>
          <w:rFonts w:ascii="Times New Roman" w:hAnsi="Times New Roman" w:cs="Times New Roman"/>
        </w:rPr>
        <w:t>;</w:t>
      </w:r>
      <w:r w:rsidRPr="00E702F5">
        <w:rPr>
          <w:rFonts w:ascii="Times New Roman" w:hAnsi="Times New Roman" w:cs="Times New Roman"/>
        </w:rPr>
        <w:t xml:space="preserve"> and </w:t>
      </w:r>
      <w:r>
        <w:rPr>
          <w:rFonts w:ascii="Times New Roman" w:hAnsi="Times New Roman" w:cs="Times New Roman"/>
        </w:rPr>
        <w:t>civic p</w:t>
      </w:r>
      <w:r w:rsidRPr="00E702F5">
        <w:rPr>
          <w:rFonts w:ascii="Times New Roman" w:hAnsi="Times New Roman" w:cs="Times New Roman"/>
        </w:rPr>
        <w:t>articipation</w:t>
      </w:r>
      <w:r>
        <w:rPr>
          <w:rFonts w:ascii="Times New Roman" w:hAnsi="Times New Roman" w:cs="Times New Roman"/>
        </w:rPr>
        <w:t xml:space="preserve">. </w:t>
      </w:r>
      <w:r w:rsidR="00683B46">
        <w:rPr>
          <w:rFonts w:ascii="Times New Roman" w:hAnsi="Times New Roman" w:cs="Times New Roman"/>
        </w:rPr>
        <w:t>A</w:t>
      </w:r>
      <w:r>
        <w:rPr>
          <w:rFonts w:ascii="Times New Roman" w:hAnsi="Times New Roman" w:cs="Times New Roman"/>
        </w:rPr>
        <w:t xml:space="preserve"> technical working group is reviewing the weights used in the index, and while not all of the indicators are available in </w:t>
      </w:r>
      <w:proofErr w:type="spellStart"/>
      <w:r>
        <w:rPr>
          <w:rFonts w:ascii="Times New Roman" w:hAnsi="Times New Roman" w:cs="Times New Roman"/>
        </w:rPr>
        <w:t>PICs</w:t>
      </w:r>
      <w:proofErr w:type="spellEnd"/>
      <w:r>
        <w:rPr>
          <w:rFonts w:ascii="Times New Roman" w:hAnsi="Times New Roman" w:cs="Times New Roman"/>
        </w:rPr>
        <w:t xml:space="preserve">, </w:t>
      </w:r>
      <w:r w:rsidR="00683B46">
        <w:rPr>
          <w:rFonts w:ascii="Times New Roman" w:hAnsi="Times New Roman" w:cs="Times New Roman"/>
        </w:rPr>
        <w:t xml:space="preserve">the following </w:t>
      </w:r>
      <w:proofErr w:type="spellStart"/>
      <w:r w:rsidR="00683B46">
        <w:rPr>
          <w:rFonts w:ascii="Times New Roman" w:hAnsi="Times New Roman" w:cs="Times New Roman"/>
        </w:rPr>
        <w:t>YDI</w:t>
      </w:r>
      <w:proofErr w:type="spellEnd"/>
      <w:r>
        <w:rPr>
          <w:rFonts w:ascii="Times New Roman" w:hAnsi="Times New Roman" w:cs="Times New Roman"/>
        </w:rPr>
        <w:t xml:space="preserve"> indicators are derived from the census: </w:t>
      </w:r>
    </w:p>
    <w:p w:rsidR="00E702F5" w:rsidRPr="00E702F5" w:rsidRDefault="00E702F5" w:rsidP="00E702F5">
      <w:pPr>
        <w:pStyle w:val="ListParagraph"/>
        <w:numPr>
          <w:ilvl w:val="0"/>
          <w:numId w:val="8"/>
        </w:numPr>
        <w:rPr>
          <w:rFonts w:ascii="Times New Roman" w:hAnsi="Times New Roman" w:cs="Times New Roman"/>
        </w:rPr>
      </w:pPr>
      <w:r w:rsidRPr="00E702F5">
        <w:rPr>
          <w:rFonts w:ascii="Times New Roman" w:hAnsi="Times New Roman" w:cs="Times New Roman"/>
        </w:rPr>
        <w:t>Mean Years of Schooling</w:t>
      </w:r>
    </w:p>
    <w:p w:rsidR="00E702F5" w:rsidRPr="00E702F5" w:rsidRDefault="00E702F5" w:rsidP="00E702F5">
      <w:pPr>
        <w:pStyle w:val="ListParagraph"/>
        <w:numPr>
          <w:ilvl w:val="0"/>
          <w:numId w:val="8"/>
        </w:numPr>
        <w:rPr>
          <w:rFonts w:ascii="Times New Roman" w:eastAsia="Times New Roman" w:hAnsi="Times New Roman" w:cs="Times New Roman"/>
          <w:color w:val="000000"/>
          <w:lang w:eastAsia="en-AU"/>
        </w:rPr>
      </w:pPr>
      <w:r w:rsidRPr="00E702F5">
        <w:rPr>
          <w:rFonts w:ascii="Times New Roman" w:eastAsia="Times New Roman" w:hAnsi="Times New Roman" w:cs="Times New Roman"/>
          <w:color w:val="000000"/>
          <w:lang w:eastAsia="en-AU"/>
        </w:rPr>
        <w:t>Youth Literacy (15-24)</w:t>
      </w:r>
    </w:p>
    <w:p w:rsidR="00E702F5" w:rsidRPr="00E702F5" w:rsidRDefault="00E702F5" w:rsidP="00E702F5">
      <w:pPr>
        <w:pStyle w:val="ListParagraph"/>
        <w:numPr>
          <w:ilvl w:val="0"/>
          <w:numId w:val="8"/>
        </w:num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Youth Mortality Rate (15 - 29)</w:t>
      </w:r>
    </w:p>
    <w:p w:rsidR="00E702F5" w:rsidRPr="00E702F5" w:rsidRDefault="00E702F5" w:rsidP="00E702F5">
      <w:pPr>
        <w:pStyle w:val="ListParagraph"/>
        <w:numPr>
          <w:ilvl w:val="0"/>
          <w:numId w:val="8"/>
        </w:num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Teenage Pregnancy Rates</w:t>
      </w:r>
    </w:p>
    <w:p w:rsidR="00E702F5" w:rsidRPr="00E702F5" w:rsidRDefault="00E702F5" w:rsidP="00E702F5">
      <w:pPr>
        <w:pStyle w:val="ListParagraph"/>
        <w:numPr>
          <w:ilvl w:val="0"/>
          <w:numId w:val="8"/>
        </w:num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Tobacco Use (13-15)</w:t>
      </w:r>
    </w:p>
    <w:p w:rsidR="00E702F5" w:rsidRPr="00E702F5" w:rsidRDefault="00E702F5" w:rsidP="00E702F5">
      <w:pPr>
        <w:pStyle w:val="ListParagraph"/>
        <w:numPr>
          <w:ilvl w:val="0"/>
          <w:numId w:val="8"/>
        </w:num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Unemployment (15-24)</w:t>
      </w:r>
    </w:p>
    <w:p w:rsidR="00E702F5" w:rsidRPr="00E702F5" w:rsidRDefault="00E702F5" w:rsidP="00E702F5">
      <w:pPr>
        <w:pStyle w:val="ListParagraph"/>
        <w:numPr>
          <w:ilvl w:val="0"/>
          <w:numId w:val="8"/>
        </w:numPr>
        <w:rPr>
          <w:rFonts w:ascii="Times New Roman" w:eastAsia="Times New Roman" w:hAnsi="Times New Roman" w:cs="Times New Roman"/>
          <w:color w:val="000000"/>
          <w:lang w:eastAsia="en-AU"/>
        </w:rPr>
      </w:pPr>
      <w:r w:rsidRPr="00E702F5">
        <w:rPr>
          <w:rFonts w:ascii="Times New Roman" w:eastAsia="Times New Roman" w:hAnsi="Times New Roman" w:cs="Times New Roman"/>
          <w:color w:val="000000"/>
          <w:lang w:eastAsia="en-AU"/>
        </w:rPr>
        <w:t>Youth to Total Employment Ratio (15-24)</w:t>
      </w:r>
    </w:p>
    <w:p w:rsidR="00E702F5" w:rsidRDefault="00E702F5" w:rsidP="00E702F5">
      <w:pPr>
        <w:pStyle w:val="NoSpacing"/>
        <w:numPr>
          <w:ilvl w:val="1"/>
          <w:numId w:val="2"/>
        </w:numPr>
        <w:spacing w:after="200" w:line="264" w:lineRule="auto"/>
        <w:ind w:left="0" w:firstLine="0"/>
        <w:rPr>
          <w:rFonts w:ascii="Times New Roman" w:hAnsi="Times New Roman" w:cs="Times New Roman"/>
        </w:rPr>
      </w:pPr>
      <w:r>
        <w:rPr>
          <w:rFonts w:ascii="Times New Roman" w:hAnsi="Times New Roman" w:cs="Times New Roman"/>
        </w:rPr>
        <w:t>It would be possible, and practical, to include a question on active citizenship in the Census for the resident adult population, with the indicator providing important information</w:t>
      </w:r>
      <w:r w:rsidR="00683B46">
        <w:rPr>
          <w:rFonts w:ascii="Times New Roman" w:hAnsi="Times New Roman" w:cs="Times New Roman"/>
        </w:rPr>
        <w:t xml:space="preserve"> </w:t>
      </w:r>
      <w:r w:rsidR="00683B46">
        <w:rPr>
          <w:rFonts w:ascii="Times New Roman" w:hAnsi="Times New Roman" w:cs="Times New Roman"/>
        </w:rPr>
        <w:t xml:space="preserve">the </w:t>
      </w:r>
      <w:proofErr w:type="spellStart"/>
      <w:r w:rsidR="00683B46">
        <w:rPr>
          <w:rFonts w:ascii="Times New Roman" w:hAnsi="Times New Roman" w:cs="Times New Roman"/>
        </w:rPr>
        <w:t>YDI</w:t>
      </w:r>
      <w:proofErr w:type="spellEnd"/>
      <w:r w:rsidR="00683B46">
        <w:rPr>
          <w:rFonts w:ascii="Times New Roman" w:hAnsi="Times New Roman" w:cs="Times New Roman"/>
        </w:rPr>
        <w:t xml:space="preserve"> ‘volunteering’</w:t>
      </w:r>
      <w:r w:rsidR="00683B46">
        <w:rPr>
          <w:rFonts w:ascii="Times New Roman" w:hAnsi="Times New Roman" w:cs="Times New Roman"/>
        </w:rPr>
        <w:t xml:space="preserve"> indicator as well as </w:t>
      </w:r>
      <w:r>
        <w:rPr>
          <w:rFonts w:ascii="Times New Roman" w:hAnsi="Times New Roman" w:cs="Times New Roman"/>
        </w:rPr>
        <w:t xml:space="preserve">for </w:t>
      </w:r>
      <w:r w:rsidR="00683B46">
        <w:rPr>
          <w:rFonts w:ascii="Times New Roman" w:hAnsi="Times New Roman" w:cs="Times New Roman"/>
        </w:rPr>
        <w:t>S</w:t>
      </w:r>
      <w:r>
        <w:rPr>
          <w:rFonts w:ascii="Times New Roman" w:hAnsi="Times New Roman" w:cs="Times New Roman"/>
        </w:rPr>
        <w:t xml:space="preserve">tates party reports for the Universal Periodic Review and other human rights periodic reports. Obviously </w:t>
      </w:r>
      <w:proofErr w:type="spellStart"/>
      <w:r>
        <w:rPr>
          <w:rFonts w:ascii="Times New Roman" w:hAnsi="Times New Roman" w:cs="Times New Roman"/>
        </w:rPr>
        <w:t>PICs</w:t>
      </w:r>
      <w:proofErr w:type="spellEnd"/>
      <w:r>
        <w:rPr>
          <w:rFonts w:ascii="Times New Roman" w:hAnsi="Times New Roman" w:cs="Times New Roman"/>
        </w:rPr>
        <w:t xml:space="preserve"> would have to develop and test the response categories for active citizenship for the adult resident population which could be based on a question like this: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tblGrid>
      <w:tr w:rsidR="00E702F5" w:rsidRPr="00E702F5" w:rsidTr="00E702F5">
        <w:trPr>
          <w:jc w:val="center"/>
        </w:trPr>
        <w:tc>
          <w:tcPr>
            <w:tcW w:w="5069" w:type="dxa"/>
          </w:tcPr>
          <w:p w:rsidR="00E702F5" w:rsidRPr="00E702F5" w:rsidRDefault="00E702F5" w:rsidP="00E702F5">
            <w:pPr>
              <w:pStyle w:val="NoSpacing"/>
              <w:spacing w:line="264" w:lineRule="auto"/>
              <w:rPr>
                <w:rFonts w:ascii="Corbel" w:hAnsi="Corbel" w:cs="Times New Roman"/>
                <w:sz w:val="18"/>
              </w:rPr>
            </w:pPr>
            <w:r w:rsidRPr="00E702F5">
              <w:rPr>
                <w:rFonts w:ascii="Corbel" w:hAnsi="Corbel" w:cs="Times New Roman"/>
                <w:b/>
                <w:sz w:val="18"/>
              </w:rPr>
              <w:t>Civic engagement:</w:t>
            </w:r>
            <w:r w:rsidRPr="00E702F5">
              <w:rPr>
                <w:rFonts w:ascii="Corbel" w:hAnsi="Corbel" w:cs="Times New Roman"/>
                <w:sz w:val="18"/>
              </w:rPr>
              <w:t xml:space="preserve"> </w:t>
            </w:r>
            <w:r w:rsidRPr="00E702F5">
              <w:rPr>
                <w:rFonts w:ascii="Corbel" w:hAnsi="Corbel" w:cs="Times New Roman"/>
                <w:i/>
                <w:sz w:val="18"/>
              </w:rPr>
              <w:t>Mark as many spaces as you need to answer this question.</w:t>
            </w:r>
            <w:r w:rsidRPr="00E702F5">
              <w:rPr>
                <w:rFonts w:ascii="Corbel" w:hAnsi="Corbel" w:cs="Times New Roman"/>
                <w:sz w:val="18"/>
              </w:rPr>
              <w:t xml:space="preserve"> In the last 4 weeks which of these have you participated in?</w:t>
            </w:r>
          </w:p>
        </w:tc>
      </w:tr>
      <w:tr w:rsidR="00E702F5" w:rsidRPr="00E702F5" w:rsidTr="00E702F5">
        <w:trPr>
          <w:jc w:val="center"/>
        </w:trPr>
        <w:tc>
          <w:tcPr>
            <w:tcW w:w="5069" w:type="dxa"/>
          </w:tcPr>
          <w:p w:rsidR="00E702F5" w:rsidRPr="00E702F5" w:rsidRDefault="00E702F5" w:rsidP="00E702F5">
            <w:pPr>
              <w:pStyle w:val="NoSpacing"/>
              <w:spacing w:before="240" w:after="120" w:line="264" w:lineRule="auto"/>
              <w:rPr>
                <w:rFonts w:ascii="Corbel" w:hAnsi="Corbel" w:cs="Times New Roman"/>
              </w:rPr>
            </w:pPr>
            <w:r>
              <w:rPr>
                <w:rFonts w:ascii="Wingdings 2" w:hAnsi="Wingdings 2" w:cs="Times New Roman"/>
                <w:sz w:val="18"/>
              </w:rPr>
              <w:sym w:font="Webdings" w:char="F063"/>
            </w:r>
            <w:r>
              <w:rPr>
                <w:rFonts w:ascii="Wingdings 2" w:hAnsi="Wingdings 2" w:cs="Times New Roman"/>
                <w:sz w:val="18"/>
              </w:rPr>
              <w:t></w:t>
            </w:r>
            <w:r w:rsidRPr="00E702F5">
              <w:rPr>
                <w:rFonts w:ascii="Corbel" w:hAnsi="Corbel" w:cs="Times New Roman"/>
                <w:sz w:val="18"/>
              </w:rPr>
              <w:t xml:space="preserve">Sports group </w:t>
            </w:r>
          </w:p>
          <w:p w:rsidR="00E702F5" w:rsidRPr="00E702F5" w:rsidRDefault="00E702F5" w:rsidP="00E702F5">
            <w:pPr>
              <w:pStyle w:val="NoSpacing"/>
              <w:spacing w:after="120" w:line="264" w:lineRule="auto"/>
              <w:rPr>
                <w:rFonts w:ascii="Corbel" w:hAnsi="Corbel" w:cs="Times New Roman"/>
                <w:sz w:val="18"/>
              </w:rPr>
            </w:pPr>
            <w:r>
              <w:rPr>
                <w:rFonts w:ascii="Wingdings 2" w:hAnsi="Wingdings 2" w:cs="Times New Roman"/>
                <w:sz w:val="18"/>
              </w:rPr>
              <w:sym w:font="Webdings" w:char="F063"/>
            </w:r>
            <w:r>
              <w:rPr>
                <w:rFonts w:ascii="Wingdings 2" w:hAnsi="Wingdings 2" w:cs="Times New Roman"/>
                <w:sz w:val="18"/>
              </w:rPr>
              <w:t></w:t>
            </w:r>
            <w:r w:rsidRPr="00E702F5">
              <w:rPr>
                <w:rFonts w:ascii="Corbel" w:hAnsi="Corbel" w:cs="Times New Roman"/>
                <w:sz w:val="18"/>
              </w:rPr>
              <w:t>Youth organisation/network</w:t>
            </w:r>
          </w:p>
          <w:p w:rsidR="00E702F5" w:rsidRPr="00E702F5" w:rsidRDefault="00E702F5" w:rsidP="00E702F5">
            <w:pPr>
              <w:pStyle w:val="NoSpacing"/>
              <w:tabs>
                <w:tab w:val="center" w:pos="2426"/>
              </w:tabs>
              <w:spacing w:after="120" w:line="264" w:lineRule="auto"/>
              <w:rPr>
                <w:rFonts w:ascii="Corbel" w:hAnsi="Corbel" w:cs="Times New Roman"/>
                <w:sz w:val="18"/>
              </w:rPr>
            </w:pPr>
            <w:r>
              <w:rPr>
                <w:rFonts w:ascii="Wingdings 2" w:hAnsi="Wingdings 2" w:cs="Times New Roman"/>
                <w:sz w:val="18"/>
              </w:rPr>
              <w:sym w:font="Webdings" w:char="F063"/>
            </w:r>
            <w:r>
              <w:rPr>
                <w:rFonts w:ascii="Wingdings 2" w:hAnsi="Wingdings 2" w:cs="Times New Roman"/>
                <w:sz w:val="18"/>
              </w:rPr>
              <w:t></w:t>
            </w:r>
            <w:r w:rsidRPr="00E702F5">
              <w:rPr>
                <w:rFonts w:ascii="Corbel" w:hAnsi="Corbel" w:cs="Times New Roman"/>
                <w:sz w:val="18"/>
              </w:rPr>
              <w:t>Church youth group</w:t>
            </w:r>
          </w:p>
          <w:p w:rsidR="00E702F5" w:rsidRPr="00E702F5" w:rsidRDefault="00E702F5" w:rsidP="00E702F5">
            <w:pPr>
              <w:pStyle w:val="NoSpacing"/>
              <w:tabs>
                <w:tab w:val="center" w:pos="2426"/>
              </w:tabs>
              <w:spacing w:after="120" w:line="264" w:lineRule="auto"/>
              <w:rPr>
                <w:rFonts w:ascii="Corbel" w:hAnsi="Corbel" w:cs="Times New Roman"/>
                <w:sz w:val="18"/>
              </w:rPr>
            </w:pPr>
            <w:r>
              <w:rPr>
                <w:rFonts w:ascii="Wingdings 2" w:hAnsi="Wingdings 2" w:cs="Times New Roman"/>
                <w:sz w:val="18"/>
              </w:rPr>
              <w:sym w:font="Webdings" w:char="F063"/>
            </w:r>
            <w:r>
              <w:rPr>
                <w:rFonts w:ascii="Wingdings 2" w:hAnsi="Wingdings 2" w:cs="Times New Roman"/>
                <w:sz w:val="18"/>
              </w:rPr>
              <w:t></w:t>
            </w:r>
            <w:r>
              <w:rPr>
                <w:rFonts w:ascii="Corbel" w:hAnsi="Corbel" w:cs="Times New Roman"/>
                <w:sz w:val="18"/>
              </w:rPr>
              <w:t>L</w:t>
            </w:r>
            <w:r w:rsidRPr="00E702F5">
              <w:rPr>
                <w:rFonts w:ascii="Corbel" w:hAnsi="Corbel" w:cs="Times New Roman"/>
                <w:sz w:val="18"/>
              </w:rPr>
              <w:t>ocal government consultations/decisions</w:t>
            </w:r>
          </w:p>
          <w:p w:rsidR="00E702F5" w:rsidRPr="00E702F5" w:rsidRDefault="00E702F5" w:rsidP="00E702F5">
            <w:pPr>
              <w:pStyle w:val="NoSpacing"/>
              <w:tabs>
                <w:tab w:val="center" w:pos="2426"/>
              </w:tabs>
              <w:spacing w:after="120" w:line="264" w:lineRule="auto"/>
              <w:rPr>
                <w:rFonts w:ascii="Corbel" w:hAnsi="Corbel" w:cs="Times New Roman"/>
                <w:sz w:val="18"/>
              </w:rPr>
            </w:pPr>
            <w:r>
              <w:rPr>
                <w:rFonts w:ascii="Wingdings 2" w:hAnsi="Wingdings 2" w:cs="Times New Roman"/>
                <w:sz w:val="18"/>
              </w:rPr>
              <w:sym w:font="Webdings" w:char="F063"/>
            </w:r>
            <w:r>
              <w:rPr>
                <w:rFonts w:ascii="Wingdings 2" w:hAnsi="Wingdings 2" w:cs="Times New Roman"/>
                <w:sz w:val="18"/>
              </w:rPr>
              <w:t></w:t>
            </w:r>
            <w:r w:rsidRPr="00E702F5">
              <w:rPr>
                <w:rFonts w:ascii="Corbel" w:hAnsi="Corbel" w:cs="Times New Roman"/>
                <w:sz w:val="18"/>
              </w:rPr>
              <w:t xml:space="preserve">Village/community development planning </w:t>
            </w:r>
          </w:p>
          <w:p w:rsidR="00E702F5" w:rsidRPr="00E702F5" w:rsidRDefault="00E702F5" w:rsidP="00683B46">
            <w:pPr>
              <w:pStyle w:val="NoSpacing"/>
              <w:tabs>
                <w:tab w:val="center" w:pos="2426"/>
              </w:tabs>
              <w:spacing w:after="120" w:line="264" w:lineRule="auto"/>
              <w:ind w:left="443" w:hanging="443"/>
              <w:rPr>
                <w:rFonts w:ascii="Corbel" w:hAnsi="Corbel" w:cs="Times New Roman"/>
                <w:sz w:val="18"/>
              </w:rPr>
            </w:pPr>
            <w:r>
              <w:rPr>
                <w:rFonts w:ascii="Wingdings 2" w:hAnsi="Wingdings 2" w:cs="Times New Roman"/>
                <w:sz w:val="18"/>
              </w:rPr>
              <w:sym w:font="Webdings" w:char="F063"/>
            </w:r>
            <w:r>
              <w:rPr>
                <w:rFonts w:ascii="Wingdings 2" w:hAnsi="Wingdings 2" w:cs="Times New Roman"/>
                <w:sz w:val="18"/>
              </w:rPr>
              <w:t></w:t>
            </w:r>
            <w:r w:rsidRPr="00E702F5">
              <w:rPr>
                <w:rFonts w:ascii="Corbel" w:hAnsi="Corbel" w:cs="Times New Roman"/>
                <w:sz w:val="18"/>
              </w:rPr>
              <w:t xml:space="preserve">Volunteered time to an organisation </w:t>
            </w:r>
            <w:r w:rsidR="00683B46" w:rsidRPr="00683B46">
              <w:rPr>
                <w:rFonts w:ascii="Corbel" w:hAnsi="Corbel" w:cs="Times New Roman"/>
                <w:i/>
                <w:sz w:val="18"/>
              </w:rPr>
              <w:t>(</w:t>
            </w:r>
            <w:proofErr w:type="spellStart"/>
            <w:r w:rsidR="00683B46" w:rsidRPr="00683B46">
              <w:rPr>
                <w:rFonts w:ascii="Corbel" w:hAnsi="Corbel" w:cs="Times New Roman"/>
                <w:i/>
                <w:sz w:val="18"/>
              </w:rPr>
              <w:t>eg</w:t>
            </w:r>
            <w:proofErr w:type="spellEnd"/>
            <w:r w:rsidR="00683B46" w:rsidRPr="00683B46">
              <w:rPr>
                <w:rFonts w:ascii="Corbel" w:hAnsi="Corbel" w:cs="Times New Roman"/>
                <w:i/>
                <w:sz w:val="18"/>
              </w:rPr>
              <w:t>. participated in an awareness campaign)</w:t>
            </w:r>
          </w:p>
          <w:p w:rsidR="00E702F5" w:rsidRDefault="00E702F5" w:rsidP="00E702F5">
            <w:pPr>
              <w:pStyle w:val="NoSpacing"/>
              <w:tabs>
                <w:tab w:val="center" w:pos="2426"/>
              </w:tabs>
              <w:spacing w:after="120" w:line="264" w:lineRule="auto"/>
              <w:rPr>
                <w:rFonts w:ascii="Corbel" w:hAnsi="Corbel" w:cs="Times New Roman"/>
                <w:sz w:val="18"/>
              </w:rPr>
            </w:pPr>
            <w:r>
              <w:rPr>
                <w:rFonts w:ascii="Wingdings 2" w:hAnsi="Wingdings 2" w:cs="Times New Roman"/>
                <w:sz w:val="18"/>
              </w:rPr>
              <w:sym w:font="Webdings" w:char="F063"/>
            </w:r>
            <w:r>
              <w:rPr>
                <w:rFonts w:ascii="Wingdings 2" w:hAnsi="Wingdings 2" w:cs="Times New Roman"/>
                <w:sz w:val="18"/>
              </w:rPr>
              <w:t></w:t>
            </w:r>
            <w:r w:rsidRPr="00E702F5">
              <w:rPr>
                <w:rFonts w:ascii="Corbel" w:hAnsi="Corbel" w:cs="Times New Roman"/>
                <w:sz w:val="18"/>
              </w:rPr>
              <w:t>Other interest group</w:t>
            </w:r>
            <w:r w:rsidR="0086503D">
              <w:rPr>
                <w:rFonts w:ascii="Corbel" w:hAnsi="Corbel" w:cs="Times New Roman"/>
                <w:sz w:val="18"/>
              </w:rPr>
              <w:t>/organisation</w:t>
            </w:r>
            <w:r w:rsidRPr="00E702F5">
              <w:rPr>
                <w:rFonts w:ascii="Corbel" w:hAnsi="Corbel" w:cs="Times New Roman"/>
                <w:sz w:val="18"/>
              </w:rPr>
              <w:t xml:space="preserve">, specify: </w:t>
            </w:r>
          </w:p>
          <w:p w:rsidR="00E702F5" w:rsidRPr="00E702F5" w:rsidRDefault="00E702F5" w:rsidP="00E702F5">
            <w:pPr>
              <w:pStyle w:val="NoSpacing"/>
              <w:tabs>
                <w:tab w:val="center" w:pos="2426"/>
              </w:tabs>
              <w:spacing w:after="200" w:line="264" w:lineRule="auto"/>
              <w:ind w:left="284"/>
              <w:rPr>
                <w:rFonts w:ascii="Corbel" w:hAnsi="Corbel" w:cs="Times New Roman"/>
                <w:sz w:val="18"/>
              </w:rPr>
            </w:pPr>
            <w:r>
              <w:rPr>
                <w:rFonts w:ascii="Corbel" w:hAnsi="Corbel" w:cs="Times New Roman"/>
                <w:sz w:val="18"/>
              </w:rPr>
              <w:t>_________________________________________________</w:t>
            </w:r>
          </w:p>
        </w:tc>
      </w:tr>
    </w:tbl>
    <w:p w:rsidR="00203324" w:rsidRPr="0086503D" w:rsidRDefault="0086503D" w:rsidP="0086503D">
      <w:pPr>
        <w:pStyle w:val="Heading1"/>
        <w:ind w:left="357" w:hanging="357"/>
        <w:rPr>
          <w:caps/>
        </w:rPr>
      </w:pPr>
      <w:r w:rsidRPr="0086503D">
        <w:rPr>
          <w:caps/>
        </w:rPr>
        <w:t xml:space="preserve">Proposed Way Forward </w:t>
      </w:r>
    </w:p>
    <w:p w:rsidR="0086503D" w:rsidRPr="0086503D" w:rsidRDefault="0086503D" w:rsidP="0086503D">
      <w:pPr>
        <w:pStyle w:val="NoSpacing"/>
        <w:numPr>
          <w:ilvl w:val="1"/>
          <w:numId w:val="2"/>
        </w:numPr>
        <w:spacing w:after="200" w:line="264" w:lineRule="auto"/>
        <w:ind w:left="0" w:firstLine="0"/>
        <w:rPr>
          <w:rFonts w:ascii="Times New Roman" w:hAnsi="Times New Roman" w:cs="Times New Roman"/>
        </w:rPr>
      </w:pPr>
      <w:r>
        <w:rPr>
          <w:rFonts w:ascii="Times New Roman" w:hAnsi="Times New Roman" w:cs="Times New Roman"/>
        </w:rPr>
        <w:t>Census data users are a very diverse group with varying levels of understanding about the census and household survey process</w:t>
      </w:r>
      <w:r w:rsidR="00683B46">
        <w:rPr>
          <w:rFonts w:ascii="Times New Roman" w:hAnsi="Times New Roman" w:cs="Times New Roman"/>
        </w:rPr>
        <w:t>,</w:t>
      </w:r>
      <w:r>
        <w:rPr>
          <w:rFonts w:ascii="Times New Roman" w:hAnsi="Times New Roman" w:cs="Times New Roman"/>
        </w:rPr>
        <w:t xml:space="preserve"> with some unable to actively participate in consultations about questionnaire content or information needs because of limited statistical literacy. There are a range of regional and international policies, commitments and standards with well-developed methodologies, concepts and definitions </w:t>
      </w:r>
      <w:proofErr w:type="spellStart"/>
      <w:r>
        <w:rPr>
          <w:rFonts w:ascii="Times New Roman" w:hAnsi="Times New Roman" w:cs="Times New Roman"/>
        </w:rPr>
        <w:t>etc</w:t>
      </w:r>
      <w:proofErr w:type="spellEnd"/>
      <w:r>
        <w:rPr>
          <w:rFonts w:ascii="Times New Roman" w:hAnsi="Times New Roman" w:cs="Times New Roman"/>
        </w:rPr>
        <w:t xml:space="preserve"> which users are aware of and utilise and </w:t>
      </w:r>
      <w:proofErr w:type="spellStart"/>
      <w:r>
        <w:rPr>
          <w:rFonts w:ascii="Times New Roman" w:hAnsi="Times New Roman" w:cs="Times New Roman"/>
        </w:rPr>
        <w:t>NSOs</w:t>
      </w:r>
      <w:proofErr w:type="spellEnd"/>
      <w:r>
        <w:rPr>
          <w:rFonts w:ascii="Times New Roman" w:hAnsi="Times New Roman" w:cs="Times New Roman"/>
        </w:rPr>
        <w:t xml:space="preserve"> could base consultations around these frameworks. The relevant frameworks have been presented in this working paper for the cross cutting </w:t>
      </w:r>
      <w:r w:rsidR="00683B46">
        <w:rPr>
          <w:rFonts w:ascii="Times New Roman" w:hAnsi="Times New Roman" w:cs="Times New Roman"/>
        </w:rPr>
        <w:t xml:space="preserve">census </w:t>
      </w:r>
      <w:r>
        <w:rPr>
          <w:rFonts w:ascii="Times New Roman" w:hAnsi="Times New Roman" w:cs="Times New Roman"/>
        </w:rPr>
        <w:t xml:space="preserve">analytical variables of sex, culture and youth (age group). </w:t>
      </w:r>
    </w:p>
    <w:p w:rsidR="00203324" w:rsidRDefault="00203324" w:rsidP="00203324"/>
    <w:p w:rsidR="00777D76" w:rsidRPr="00203324" w:rsidRDefault="00777D76" w:rsidP="00203324">
      <w:pPr>
        <w:sectPr w:rsidR="00777D76" w:rsidRPr="00203324" w:rsidSect="00F2131B">
          <w:headerReference w:type="even" r:id="rId9"/>
          <w:headerReference w:type="default" r:id="rId10"/>
          <w:pgSz w:w="11906" w:h="16838"/>
          <w:pgMar w:top="1440" w:right="991" w:bottom="1440" w:left="993" w:header="708" w:footer="708" w:gutter="0"/>
          <w:cols w:space="708"/>
          <w:titlePg/>
          <w:docGrid w:linePitch="360"/>
        </w:sectPr>
      </w:pPr>
    </w:p>
    <w:p w:rsidR="00777D76" w:rsidRPr="00777D76" w:rsidRDefault="00777D76" w:rsidP="00683B46">
      <w:pPr>
        <w:pStyle w:val="NoSpacing"/>
        <w:ind w:left="-567"/>
        <w:rPr>
          <w:rFonts w:ascii="Times New Roman" w:hAnsi="Times New Roman" w:cs="Times New Roman"/>
          <w:b/>
        </w:rPr>
      </w:pPr>
      <w:r w:rsidRPr="00777D76">
        <w:rPr>
          <w:rFonts w:ascii="Times New Roman" w:hAnsi="Times New Roman" w:cs="Times New Roman"/>
          <w:b/>
        </w:rPr>
        <w:lastRenderedPageBreak/>
        <w:t xml:space="preserve">Annex 1: Tier 1 </w:t>
      </w:r>
      <w:bookmarkStart w:id="0" w:name="_GoBack"/>
      <w:bookmarkEnd w:id="0"/>
      <w:r w:rsidRPr="00777D76">
        <w:rPr>
          <w:rFonts w:ascii="Times New Roman" w:hAnsi="Times New Roman" w:cs="Times New Roman"/>
          <w:b/>
        </w:rPr>
        <w:t xml:space="preserve">Minimum Set of Gender Indicators </w:t>
      </w:r>
    </w:p>
    <w:tbl>
      <w:tblPr>
        <w:tblW w:w="0" w:type="auto"/>
        <w:tblInd w:w="-459" w:type="dxa"/>
        <w:tblBorders>
          <w:bottom w:val="single" w:sz="4" w:space="0" w:color="auto"/>
          <w:insideH w:val="single" w:sz="4" w:space="0" w:color="auto"/>
        </w:tblBorders>
        <w:tblLayout w:type="fixed"/>
        <w:tblLook w:val="04A0" w:firstRow="1" w:lastRow="0" w:firstColumn="1" w:lastColumn="0" w:noHBand="0" w:noVBand="1"/>
      </w:tblPr>
      <w:tblGrid>
        <w:gridCol w:w="5245"/>
        <w:gridCol w:w="851"/>
        <w:gridCol w:w="3827"/>
        <w:gridCol w:w="4710"/>
      </w:tblGrid>
      <w:tr w:rsidR="00375349" w:rsidRPr="00375349" w:rsidTr="00683B46">
        <w:trPr>
          <w:tblHeader/>
        </w:trPr>
        <w:tc>
          <w:tcPr>
            <w:tcW w:w="5245" w:type="dxa"/>
            <w:shd w:val="clear" w:color="auto" w:fill="auto"/>
            <w:noWrap/>
            <w:vAlign w:val="bottom"/>
            <w:hideMark/>
          </w:tcPr>
          <w:p w:rsidR="00375349" w:rsidRPr="00375349" w:rsidRDefault="00375349" w:rsidP="00375349">
            <w:pPr>
              <w:spacing w:after="0" w:line="240" w:lineRule="auto"/>
              <w:rPr>
                <w:rFonts w:ascii="Calibri Light" w:eastAsia="Times New Roman" w:hAnsi="Calibri Light" w:cs="Times New Roman"/>
                <w:b/>
                <w:color w:val="000000"/>
                <w:sz w:val="18"/>
                <w:szCs w:val="18"/>
                <w:lang w:eastAsia="en-AU"/>
              </w:rPr>
            </w:pPr>
            <w:r w:rsidRPr="00375349">
              <w:rPr>
                <w:rFonts w:ascii="Calibri Light" w:eastAsia="Times New Roman" w:hAnsi="Calibri Light" w:cs="Times New Roman"/>
                <w:b/>
                <w:color w:val="000000"/>
                <w:sz w:val="18"/>
                <w:szCs w:val="18"/>
                <w:lang w:eastAsia="en-AU"/>
              </w:rPr>
              <w:t>Tier 1 Minimum Set of Gender Indicators</w:t>
            </w:r>
          </w:p>
        </w:tc>
        <w:tc>
          <w:tcPr>
            <w:tcW w:w="851" w:type="dxa"/>
            <w:shd w:val="clear" w:color="auto" w:fill="auto"/>
            <w:noWrap/>
            <w:vAlign w:val="bottom"/>
            <w:hideMark/>
          </w:tcPr>
          <w:p w:rsidR="00375349" w:rsidRPr="00375349" w:rsidRDefault="00375349" w:rsidP="00375349">
            <w:pPr>
              <w:spacing w:after="0" w:line="240" w:lineRule="auto"/>
              <w:jc w:val="center"/>
              <w:rPr>
                <w:rFonts w:ascii="Calibri Light" w:eastAsia="Times New Roman" w:hAnsi="Calibri Light" w:cs="Times New Roman"/>
                <w:b/>
                <w:color w:val="000000"/>
                <w:sz w:val="18"/>
                <w:szCs w:val="18"/>
                <w:lang w:eastAsia="en-AU"/>
              </w:rPr>
            </w:pPr>
            <w:r w:rsidRPr="00375349">
              <w:rPr>
                <w:rFonts w:ascii="Calibri Light" w:eastAsia="Times New Roman" w:hAnsi="Calibri Light" w:cs="Times New Roman"/>
                <w:b/>
                <w:color w:val="000000"/>
                <w:sz w:val="18"/>
                <w:szCs w:val="18"/>
                <w:lang w:eastAsia="en-AU"/>
              </w:rPr>
              <w:t>Census rating</w:t>
            </w:r>
            <w:r>
              <w:rPr>
                <w:rFonts w:ascii="Calibri Light" w:eastAsia="Times New Roman" w:hAnsi="Calibri Light" w:cs="Times New Roman"/>
                <w:b/>
                <w:color w:val="000000"/>
                <w:sz w:val="18"/>
                <w:szCs w:val="18"/>
                <w:lang w:eastAsia="en-AU"/>
              </w:rPr>
              <w:t>*</w:t>
            </w:r>
          </w:p>
        </w:tc>
        <w:tc>
          <w:tcPr>
            <w:tcW w:w="3827" w:type="dxa"/>
            <w:shd w:val="clear" w:color="auto" w:fill="auto"/>
            <w:noWrap/>
            <w:vAlign w:val="bottom"/>
            <w:hideMark/>
          </w:tcPr>
          <w:p w:rsidR="00375349" w:rsidRPr="00375349" w:rsidRDefault="00375349" w:rsidP="00683B46">
            <w:pPr>
              <w:spacing w:after="0" w:line="240" w:lineRule="auto"/>
              <w:rPr>
                <w:rFonts w:ascii="Calibri Light" w:eastAsia="Times New Roman" w:hAnsi="Calibri Light" w:cs="Times New Roman"/>
                <w:b/>
                <w:color w:val="000000"/>
                <w:sz w:val="18"/>
                <w:szCs w:val="18"/>
                <w:lang w:eastAsia="en-AU"/>
              </w:rPr>
            </w:pPr>
            <w:r w:rsidRPr="00375349">
              <w:rPr>
                <w:rFonts w:ascii="Calibri Light" w:eastAsia="Times New Roman" w:hAnsi="Calibri Light" w:cs="Times New Roman"/>
                <w:b/>
                <w:color w:val="000000"/>
                <w:sz w:val="18"/>
                <w:szCs w:val="18"/>
                <w:lang w:eastAsia="en-AU"/>
              </w:rPr>
              <w:t>Notes</w:t>
            </w:r>
          </w:p>
        </w:tc>
        <w:tc>
          <w:tcPr>
            <w:tcW w:w="4710" w:type="dxa"/>
            <w:vAlign w:val="bottom"/>
          </w:tcPr>
          <w:p w:rsidR="00375349" w:rsidRPr="00375349" w:rsidRDefault="00375349" w:rsidP="00683B46">
            <w:pPr>
              <w:spacing w:after="0" w:line="240" w:lineRule="auto"/>
              <w:rPr>
                <w:rFonts w:ascii="Calibri Light" w:eastAsia="Times New Roman" w:hAnsi="Calibri Light" w:cs="Times New Roman"/>
                <w:b/>
                <w:color w:val="000000"/>
                <w:sz w:val="18"/>
                <w:szCs w:val="18"/>
                <w:lang w:eastAsia="en-AU"/>
              </w:rPr>
            </w:pPr>
            <w:r w:rsidRPr="00375349">
              <w:rPr>
                <w:rFonts w:ascii="Calibri Light" w:eastAsia="Times New Roman" w:hAnsi="Calibri Light" w:cs="Times New Roman"/>
                <w:b/>
                <w:color w:val="000000"/>
                <w:sz w:val="18"/>
                <w:szCs w:val="18"/>
                <w:lang w:eastAsia="en-AU"/>
              </w:rPr>
              <w:t>Domain</w:t>
            </w:r>
          </w:p>
        </w:tc>
      </w:tr>
      <w:tr w:rsidR="00375349" w:rsidRPr="00375349" w:rsidTr="00683B46">
        <w:tc>
          <w:tcPr>
            <w:tcW w:w="5245"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val="en-NZ" w:eastAsia="en-AU"/>
              </w:rPr>
              <w:t xml:space="preserve">Youth unemployment rate for persons aged 15-24, by sex  </w:t>
            </w:r>
          </w:p>
        </w:tc>
        <w:tc>
          <w:tcPr>
            <w:tcW w:w="851" w:type="dxa"/>
            <w:shd w:val="clear" w:color="auto" w:fill="auto"/>
            <w:noWrap/>
            <w:hideMark/>
          </w:tcPr>
          <w:p w:rsidR="00375349" w:rsidRPr="00375349" w:rsidRDefault="00375349" w:rsidP="00683B46">
            <w:pPr>
              <w:spacing w:after="0" w:line="240" w:lineRule="auto"/>
              <w:jc w:val="center"/>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1</w:t>
            </w:r>
          </w:p>
        </w:tc>
        <w:tc>
          <w:tcPr>
            <w:tcW w:w="3827"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p>
        </w:tc>
        <w:tc>
          <w:tcPr>
            <w:tcW w:w="4710" w:type="dxa"/>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w:hAnsi="Calibri Light" w:cs="Times New Roman"/>
                <w:color w:val="000000"/>
                <w:sz w:val="18"/>
                <w:szCs w:val="18"/>
                <w:lang w:val="en-NZ" w:eastAsia="en-AU"/>
              </w:rPr>
              <w:t>Economic structures, participation in productive activities and access to resources</w:t>
            </w:r>
          </w:p>
        </w:tc>
      </w:tr>
      <w:tr w:rsidR="00375349" w:rsidRPr="00375349" w:rsidTr="00683B46">
        <w:tc>
          <w:tcPr>
            <w:tcW w:w="5245"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val="en-NZ" w:eastAsia="en-AU"/>
              </w:rPr>
              <w:t xml:space="preserve">Proportion of individuals using the Internet, by sex  </w:t>
            </w:r>
          </w:p>
        </w:tc>
        <w:tc>
          <w:tcPr>
            <w:tcW w:w="851" w:type="dxa"/>
            <w:shd w:val="clear" w:color="auto" w:fill="auto"/>
            <w:noWrap/>
            <w:hideMark/>
          </w:tcPr>
          <w:p w:rsidR="00375349" w:rsidRPr="00375349" w:rsidRDefault="00375349" w:rsidP="00683B46">
            <w:pPr>
              <w:spacing w:after="0" w:line="240" w:lineRule="auto"/>
              <w:jc w:val="center"/>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2</w:t>
            </w:r>
          </w:p>
        </w:tc>
        <w:tc>
          <w:tcPr>
            <w:tcW w:w="3827"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 xml:space="preserve">Sometimes dwelling </w:t>
            </w:r>
            <w:r w:rsidR="00A71342">
              <w:rPr>
                <w:rFonts w:ascii="Calibri Light" w:eastAsia="Times New Roman" w:hAnsi="Calibri Light" w:cs="Times New Roman"/>
                <w:color w:val="000000"/>
                <w:sz w:val="18"/>
                <w:szCs w:val="18"/>
                <w:lang w:eastAsia="en-AU"/>
              </w:rPr>
              <w:t xml:space="preserve">level </w:t>
            </w:r>
            <w:r w:rsidRPr="00375349">
              <w:rPr>
                <w:rFonts w:ascii="Calibri Light" w:eastAsia="Times New Roman" w:hAnsi="Calibri Light" w:cs="Times New Roman"/>
                <w:color w:val="000000"/>
                <w:sz w:val="18"/>
                <w:szCs w:val="18"/>
                <w:lang w:eastAsia="en-AU"/>
              </w:rPr>
              <w:t>sometimes individual (and age group varies)</w:t>
            </w:r>
          </w:p>
        </w:tc>
        <w:tc>
          <w:tcPr>
            <w:tcW w:w="4710" w:type="dxa"/>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Economic structures, participation in productive activities and access to resources</w:t>
            </w:r>
          </w:p>
        </w:tc>
      </w:tr>
      <w:tr w:rsidR="00375349" w:rsidRPr="00375349" w:rsidTr="00683B46">
        <w:tc>
          <w:tcPr>
            <w:tcW w:w="5245"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val="en-NZ" w:eastAsia="en-AU"/>
              </w:rPr>
              <w:t xml:space="preserve">Proportion of individuals using mobile/cellular telephones, by sex  </w:t>
            </w:r>
          </w:p>
        </w:tc>
        <w:tc>
          <w:tcPr>
            <w:tcW w:w="851" w:type="dxa"/>
            <w:shd w:val="clear" w:color="auto" w:fill="auto"/>
            <w:noWrap/>
            <w:hideMark/>
          </w:tcPr>
          <w:p w:rsidR="00375349" w:rsidRPr="00375349" w:rsidRDefault="00375349" w:rsidP="00683B46">
            <w:pPr>
              <w:spacing w:after="0" w:line="240" w:lineRule="auto"/>
              <w:jc w:val="center"/>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2</w:t>
            </w:r>
          </w:p>
        </w:tc>
        <w:tc>
          <w:tcPr>
            <w:tcW w:w="3827"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 xml:space="preserve">Sometimes dwelling </w:t>
            </w:r>
            <w:r w:rsidR="00A71342">
              <w:rPr>
                <w:rFonts w:ascii="Calibri Light" w:eastAsia="Times New Roman" w:hAnsi="Calibri Light" w:cs="Times New Roman"/>
                <w:color w:val="000000"/>
                <w:sz w:val="18"/>
                <w:szCs w:val="18"/>
                <w:lang w:eastAsia="en-AU"/>
              </w:rPr>
              <w:t xml:space="preserve">level </w:t>
            </w:r>
            <w:r w:rsidRPr="00375349">
              <w:rPr>
                <w:rFonts w:ascii="Calibri Light" w:eastAsia="Times New Roman" w:hAnsi="Calibri Light" w:cs="Times New Roman"/>
                <w:color w:val="000000"/>
                <w:sz w:val="18"/>
                <w:szCs w:val="18"/>
                <w:lang w:eastAsia="en-AU"/>
              </w:rPr>
              <w:t>sometimes individual (and age group varies)</w:t>
            </w:r>
          </w:p>
        </w:tc>
        <w:tc>
          <w:tcPr>
            <w:tcW w:w="4710" w:type="dxa"/>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Economic structures, participation in productive activities and access to resources</w:t>
            </w:r>
          </w:p>
        </w:tc>
      </w:tr>
      <w:tr w:rsidR="00375349" w:rsidRPr="00375349" w:rsidTr="00683B46">
        <w:tc>
          <w:tcPr>
            <w:tcW w:w="5245"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val="en-NZ" w:eastAsia="en-AU"/>
              </w:rPr>
              <w:t xml:space="preserve">Labour force participation rate for persons aged 15-24, by sex  </w:t>
            </w:r>
          </w:p>
        </w:tc>
        <w:tc>
          <w:tcPr>
            <w:tcW w:w="851" w:type="dxa"/>
            <w:shd w:val="clear" w:color="auto" w:fill="auto"/>
            <w:noWrap/>
            <w:hideMark/>
          </w:tcPr>
          <w:p w:rsidR="00375349" w:rsidRPr="00375349" w:rsidRDefault="00375349" w:rsidP="00683B46">
            <w:pPr>
              <w:spacing w:after="0" w:line="240" w:lineRule="auto"/>
              <w:jc w:val="center"/>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2</w:t>
            </w:r>
          </w:p>
        </w:tc>
        <w:tc>
          <w:tcPr>
            <w:tcW w:w="3827"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Depends on whether 'work' or 'main activity' question principles are used</w:t>
            </w:r>
          </w:p>
        </w:tc>
        <w:tc>
          <w:tcPr>
            <w:tcW w:w="4710" w:type="dxa"/>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Economic structures, participation in productive activities and access to resources</w:t>
            </w:r>
          </w:p>
        </w:tc>
      </w:tr>
      <w:tr w:rsidR="00375349" w:rsidRPr="00375349" w:rsidTr="00683B46">
        <w:tc>
          <w:tcPr>
            <w:tcW w:w="5245"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val="en-NZ" w:eastAsia="en-AU"/>
              </w:rPr>
              <w:t xml:space="preserve">Labour force participation rate for persons aged 15+, by sex  </w:t>
            </w:r>
          </w:p>
        </w:tc>
        <w:tc>
          <w:tcPr>
            <w:tcW w:w="851" w:type="dxa"/>
            <w:shd w:val="clear" w:color="auto" w:fill="auto"/>
            <w:noWrap/>
            <w:hideMark/>
          </w:tcPr>
          <w:p w:rsidR="00375349" w:rsidRPr="00375349" w:rsidRDefault="00375349" w:rsidP="00683B46">
            <w:pPr>
              <w:spacing w:after="0" w:line="240" w:lineRule="auto"/>
              <w:jc w:val="center"/>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2</w:t>
            </w:r>
          </w:p>
        </w:tc>
        <w:tc>
          <w:tcPr>
            <w:tcW w:w="3827"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Depends on whether 'work' or 'main activity' question principles are used</w:t>
            </w:r>
          </w:p>
        </w:tc>
        <w:tc>
          <w:tcPr>
            <w:tcW w:w="4710" w:type="dxa"/>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Economic structures, participation in productive activities and access to resources</w:t>
            </w:r>
          </w:p>
        </w:tc>
      </w:tr>
      <w:tr w:rsidR="00375349" w:rsidRPr="00375349" w:rsidTr="00683B46">
        <w:tc>
          <w:tcPr>
            <w:tcW w:w="5245"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val="en-NZ" w:eastAsia="en-AU"/>
              </w:rPr>
              <w:t xml:space="preserve">Proportion of employed who are own-account workers, by sex  </w:t>
            </w:r>
          </w:p>
        </w:tc>
        <w:tc>
          <w:tcPr>
            <w:tcW w:w="851" w:type="dxa"/>
            <w:shd w:val="clear" w:color="auto" w:fill="auto"/>
            <w:noWrap/>
            <w:hideMark/>
          </w:tcPr>
          <w:p w:rsidR="00375349" w:rsidRPr="00375349" w:rsidRDefault="00375349" w:rsidP="00683B46">
            <w:pPr>
              <w:spacing w:after="0" w:line="240" w:lineRule="auto"/>
              <w:jc w:val="center"/>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1</w:t>
            </w:r>
          </w:p>
        </w:tc>
        <w:tc>
          <w:tcPr>
            <w:tcW w:w="3827"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p>
        </w:tc>
        <w:tc>
          <w:tcPr>
            <w:tcW w:w="4710" w:type="dxa"/>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Economic structures, participation in productive activities and access to resources</w:t>
            </w:r>
          </w:p>
        </w:tc>
      </w:tr>
      <w:tr w:rsidR="00375349" w:rsidRPr="00375349" w:rsidTr="00683B46">
        <w:tc>
          <w:tcPr>
            <w:tcW w:w="5245"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val="en-NZ" w:eastAsia="en-AU"/>
              </w:rPr>
              <w:t xml:space="preserve">Proportion of employed who are contributing family workers, by </w:t>
            </w:r>
          </w:p>
        </w:tc>
        <w:tc>
          <w:tcPr>
            <w:tcW w:w="851" w:type="dxa"/>
            <w:shd w:val="clear" w:color="auto" w:fill="auto"/>
            <w:noWrap/>
            <w:hideMark/>
          </w:tcPr>
          <w:p w:rsidR="00375349" w:rsidRPr="00375349" w:rsidRDefault="00375349" w:rsidP="00683B46">
            <w:pPr>
              <w:spacing w:after="0" w:line="240" w:lineRule="auto"/>
              <w:jc w:val="center"/>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1</w:t>
            </w:r>
          </w:p>
        </w:tc>
        <w:tc>
          <w:tcPr>
            <w:tcW w:w="3827"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p>
        </w:tc>
        <w:tc>
          <w:tcPr>
            <w:tcW w:w="4710" w:type="dxa"/>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Economic structures, participation in productive activities and access to resources</w:t>
            </w:r>
          </w:p>
        </w:tc>
      </w:tr>
      <w:tr w:rsidR="00375349" w:rsidRPr="00375349" w:rsidTr="00683B46">
        <w:tc>
          <w:tcPr>
            <w:tcW w:w="5245"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val="en-NZ" w:eastAsia="en-AU"/>
              </w:rPr>
              <w:t xml:space="preserve">Proportion of employed who are employers, by sex  </w:t>
            </w:r>
          </w:p>
        </w:tc>
        <w:tc>
          <w:tcPr>
            <w:tcW w:w="851" w:type="dxa"/>
            <w:shd w:val="clear" w:color="auto" w:fill="auto"/>
            <w:noWrap/>
            <w:hideMark/>
          </w:tcPr>
          <w:p w:rsidR="00375349" w:rsidRPr="00375349" w:rsidRDefault="00375349" w:rsidP="00683B46">
            <w:pPr>
              <w:spacing w:after="0" w:line="240" w:lineRule="auto"/>
              <w:jc w:val="center"/>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1</w:t>
            </w:r>
          </w:p>
        </w:tc>
        <w:tc>
          <w:tcPr>
            <w:tcW w:w="3827"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p>
        </w:tc>
        <w:tc>
          <w:tcPr>
            <w:tcW w:w="4710" w:type="dxa"/>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Economic structures, participation in productive activities and access to resources</w:t>
            </w:r>
          </w:p>
        </w:tc>
      </w:tr>
      <w:tr w:rsidR="00375349" w:rsidRPr="00375349" w:rsidTr="00683B46">
        <w:tc>
          <w:tcPr>
            <w:tcW w:w="5245"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val="en-NZ" w:eastAsia="en-AU"/>
              </w:rPr>
              <w:t xml:space="preserve">Percentage distribution of employed population in agricultural sector, by sex  </w:t>
            </w:r>
          </w:p>
        </w:tc>
        <w:tc>
          <w:tcPr>
            <w:tcW w:w="851" w:type="dxa"/>
            <w:shd w:val="clear" w:color="auto" w:fill="auto"/>
            <w:noWrap/>
            <w:hideMark/>
          </w:tcPr>
          <w:p w:rsidR="00375349" w:rsidRPr="00375349" w:rsidRDefault="00375349" w:rsidP="00683B46">
            <w:pPr>
              <w:spacing w:after="0" w:line="240" w:lineRule="auto"/>
              <w:jc w:val="center"/>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1</w:t>
            </w:r>
          </w:p>
        </w:tc>
        <w:tc>
          <w:tcPr>
            <w:tcW w:w="3827"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p>
        </w:tc>
        <w:tc>
          <w:tcPr>
            <w:tcW w:w="4710" w:type="dxa"/>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Economic structures, participation in productive activities and access to resources</w:t>
            </w:r>
          </w:p>
        </w:tc>
      </w:tr>
      <w:tr w:rsidR="00375349" w:rsidRPr="00375349" w:rsidTr="00683B46">
        <w:tc>
          <w:tcPr>
            <w:tcW w:w="5245"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val="en-NZ" w:eastAsia="en-AU"/>
              </w:rPr>
              <w:t xml:space="preserve">Percentage distribution of employed population in industrial sector, by sex  </w:t>
            </w:r>
          </w:p>
        </w:tc>
        <w:tc>
          <w:tcPr>
            <w:tcW w:w="851" w:type="dxa"/>
            <w:shd w:val="clear" w:color="auto" w:fill="auto"/>
            <w:noWrap/>
            <w:hideMark/>
          </w:tcPr>
          <w:p w:rsidR="00375349" w:rsidRPr="00375349" w:rsidRDefault="00375349" w:rsidP="00683B46">
            <w:pPr>
              <w:spacing w:after="0" w:line="240" w:lineRule="auto"/>
              <w:jc w:val="center"/>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1</w:t>
            </w:r>
          </w:p>
        </w:tc>
        <w:tc>
          <w:tcPr>
            <w:tcW w:w="3827"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p>
        </w:tc>
        <w:tc>
          <w:tcPr>
            <w:tcW w:w="4710" w:type="dxa"/>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Economic structures, participation in productive activities and access to resources</w:t>
            </w:r>
          </w:p>
        </w:tc>
      </w:tr>
      <w:tr w:rsidR="00375349" w:rsidRPr="00375349" w:rsidTr="00683B46">
        <w:tc>
          <w:tcPr>
            <w:tcW w:w="5245"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val="en-NZ" w:eastAsia="en-AU"/>
              </w:rPr>
              <w:t xml:space="preserve">Percentage distribution of employed population in service sector, by sex   </w:t>
            </w:r>
          </w:p>
        </w:tc>
        <w:tc>
          <w:tcPr>
            <w:tcW w:w="851" w:type="dxa"/>
            <w:shd w:val="clear" w:color="auto" w:fill="auto"/>
            <w:noWrap/>
            <w:hideMark/>
          </w:tcPr>
          <w:p w:rsidR="00375349" w:rsidRPr="00375349" w:rsidRDefault="00375349" w:rsidP="00683B46">
            <w:pPr>
              <w:spacing w:after="0" w:line="240" w:lineRule="auto"/>
              <w:jc w:val="center"/>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1</w:t>
            </w:r>
          </w:p>
        </w:tc>
        <w:tc>
          <w:tcPr>
            <w:tcW w:w="3827"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p>
        </w:tc>
        <w:tc>
          <w:tcPr>
            <w:tcW w:w="4710" w:type="dxa"/>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Economic structures, participation in productive activities and access to resources</w:t>
            </w:r>
          </w:p>
        </w:tc>
      </w:tr>
      <w:tr w:rsidR="00375349" w:rsidRPr="00375349" w:rsidTr="00683B46">
        <w:tc>
          <w:tcPr>
            <w:tcW w:w="5245"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val="en-NZ" w:eastAsia="en-AU"/>
              </w:rPr>
              <w:t xml:space="preserve">Youth literacy rate of persons (15-24 years), by sex  </w:t>
            </w:r>
          </w:p>
        </w:tc>
        <w:tc>
          <w:tcPr>
            <w:tcW w:w="851" w:type="dxa"/>
            <w:shd w:val="clear" w:color="auto" w:fill="auto"/>
            <w:noWrap/>
            <w:hideMark/>
          </w:tcPr>
          <w:p w:rsidR="00375349" w:rsidRPr="00375349" w:rsidRDefault="00375349" w:rsidP="00683B46">
            <w:pPr>
              <w:spacing w:after="0" w:line="240" w:lineRule="auto"/>
              <w:jc w:val="center"/>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3</w:t>
            </w:r>
          </w:p>
        </w:tc>
        <w:tc>
          <w:tcPr>
            <w:tcW w:w="3827"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p>
        </w:tc>
        <w:tc>
          <w:tcPr>
            <w:tcW w:w="4710" w:type="dxa"/>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w:hAnsi="Calibri Light" w:cs="Times New Roman"/>
                <w:color w:val="000000"/>
                <w:sz w:val="18"/>
                <w:szCs w:val="18"/>
                <w:lang w:val="en-NZ" w:eastAsia="en-AU"/>
              </w:rPr>
              <w:t xml:space="preserve">Education  </w:t>
            </w:r>
          </w:p>
        </w:tc>
      </w:tr>
      <w:tr w:rsidR="00375349" w:rsidRPr="00375349" w:rsidTr="00683B46">
        <w:tc>
          <w:tcPr>
            <w:tcW w:w="5245"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val="en-NZ" w:eastAsia="en-AU"/>
              </w:rPr>
              <w:t xml:space="preserve">Adjusted net enrolment rate in primary education by sex  </w:t>
            </w:r>
          </w:p>
        </w:tc>
        <w:tc>
          <w:tcPr>
            <w:tcW w:w="851" w:type="dxa"/>
            <w:shd w:val="clear" w:color="auto" w:fill="auto"/>
            <w:noWrap/>
            <w:hideMark/>
          </w:tcPr>
          <w:p w:rsidR="00375349" w:rsidRPr="00375349" w:rsidRDefault="00375349" w:rsidP="00683B46">
            <w:pPr>
              <w:spacing w:after="0" w:line="240" w:lineRule="auto"/>
              <w:jc w:val="center"/>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2</w:t>
            </w:r>
          </w:p>
        </w:tc>
        <w:tc>
          <w:tcPr>
            <w:tcW w:w="3827"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 xml:space="preserve">Census date affects quality of enrolment statistics </w:t>
            </w:r>
          </w:p>
        </w:tc>
        <w:tc>
          <w:tcPr>
            <w:tcW w:w="4710" w:type="dxa"/>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 xml:space="preserve">Education  </w:t>
            </w:r>
          </w:p>
        </w:tc>
      </w:tr>
      <w:tr w:rsidR="00375349" w:rsidRPr="00375349" w:rsidTr="00683B46">
        <w:tc>
          <w:tcPr>
            <w:tcW w:w="5245"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val="en-NZ" w:eastAsia="en-AU"/>
              </w:rPr>
              <w:t xml:space="preserve">Gross enrolment ratio in secondary education, by sex  </w:t>
            </w:r>
          </w:p>
        </w:tc>
        <w:tc>
          <w:tcPr>
            <w:tcW w:w="851" w:type="dxa"/>
            <w:shd w:val="clear" w:color="auto" w:fill="auto"/>
            <w:noWrap/>
            <w:hideMark/>
          </w:tcPr>
          <w:p w:rsidR="00375349" w:rsidRPr="00375349" w:rsidRDefault="00375349" w:rsidP="00683B46">
            <w:pPr>
              <w:spacing w:after="0" w:line="240" w:lineRule="auto"/>
              <w:jc w:val="center"/>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2</w:t>
            </w:r>
          </w:p>
        </w:tc>
        <w:tc>
          <w:tcPr>
            <w:tcW w:w="3827"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 xml:space="preserve">Census date affects quality of enrolment statistics </w:t>
            </w:r>
          </w:p>
        </w:tc>
        <w:tc>
          <w:tcPr>
            <w:tcW w:w="4710" w:type="dxa"/>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 xml:space="preserve">Education  </w:t>
            </w:r>
          </w:p>
        </w:tc>
      </w:tr>
      <w:tr w:rsidR="00375349" w:rsidRPr="00375349" w:rsidTr="00683B46">
        <w:tc>
          <w:tcPr>
            <w:tcW w:w="5245"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val="en-NZ" w:eastAsia="en-AU"/>
              </w:rPr>
              <w:t xml:space="preserve">Gross enrolment ratio in tertiary education, by sex  </w:t>
            </w:r>
          </w:p>
        </w:tc>
        <w:tc>
          <w:tcPr>
            <w:tcW w:w="851" w:type="dxa"/>
            <w:shd w:val="clear" w:color="auto" w:fill="auto"/>
            <w:noWrap/>
            <w:hideMark/>
          </w:tcPr>
          <w:p w:rsidR="00375349" w:rsidRPr="00375349" w:rsidRDefault="00375349" w:rsidP="00683B46">
            <w:pPr>
              <w:spacing w:after="0" w:line="240" w:lineRule="auto"/>
              <w:jc w:val="center"/>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2</w:t>
            </w:r>
          </w:p>
        </w:tc>
        <w:tc>
          <w:tcPr>
            <w:tcW w:w="3827"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 xml:space="preserve">Census date affects quality of enrolment statistics </w:t>
            </w:r>
          </w:p>
        </w:tc>
        <w:tc>
          <w:tcPr>
            <w:tcW w:w="4710" w:type="dxa"/>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 xml:space="preserve">Education  </w:t>
            </w:r>
          </w:p>
        </w:tc>
      </w:tr>
      <w:tr w:rsidR="00375349" w:rsidRPr="00375349" w:rsidTr="00683B46">
        <w:tc>
          <w:tcPr>
            <w:tcW w:w="5245"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val="en-NZ" w:eastAsia="en-AU"/>
              </w:rPr>
              <w:t xml:space="preserve">Gender parity index of the gross enrolment ratio in primary </w:t>
            </w:r>
          </w:p>
        </w:tc>
        <w:tc>
          <w:tcPr>
            <w:tcW w:w="851" w:type="dxa"/>
            <w:shd w:val="clear" w:color="auto" w:fill="auto"/>
            <w:noWrap/>
            <w:hideMark/>
          </w:tcPr>
          <w:p w:rsidR="00375349" w:rsidRPr="00375349" w:rsidRDefault="00375349" w:rsidP="00683B46">
            <w:pPr>
              <w:spacing w:after="0" w:line="240" w:lineRule="auto"/>
              <w:jc w:val="center"/>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2</w:t>
            </w:r>
          </w:p>
        </w:tc>
        <w:tc>
          <w:tcPr>
            <w:tcW w:w="3827"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 xml:space="preserve">Census date affects quality of enrolment statistics </w:t>
            </w:r>
          </w:p>
        </w:tc>
        <w:tc>
          <w:tcPr>
            <w:tcW w:w="4710" w:type="dxa"/>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 xml:space="preserve">Education  </w:t>
            </w:r>
          </w:p>
        </w:tc>
      </w:tr>
      <w:tr w:rsidR="00375349" w:rsidRPr="00375349" w:rsidTr="00683B46">
        <w:tc>
          <w:tcPr>
            <w:tcW w:w="5245"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val="en-NZ" w:eastAsia="en-AU"/>
              </w:rPr>
              <w:t xml:space="preserve">Gender parity index of the gross enrolment ratio in secondary education  </w:t>
            </w:r>
          </w:p>
        </w:tc>
        <w:tc>
          <w:tcPr>
            <w:tcW w:w="851" w:type="dxa"/>
            <w:shd w:val="clear" w:color="auto" w:fill="auto"/>
            <w:noWrap/>
            <w:hideMark/>
          </w:tcPr>
          <w:p w:rsidR="00375349" w:rsidRPr="00375349" w:rsidRDefault="00375349" w:rsidP="00683B46">
            <w:pPr>
              <w:spacing w:after="0" w:line="240" w:lineRule="auto"/>
              <w:jc w:val="center"/>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2</w:t>
            </w:r>
          </w:p>
        </w:tc>
        <w:tc>
          <w:tcPr>
            <w:tcW w:w="3827"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 xml:space="preserve">Census date affects quality of enrolment statistics </w:t>
            </w:r>
          </w:p>
        </w:tc>
        <w:tc>
          <w:tcPr>
            <w:tcW w:w="4710" w:type="dxa"/>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 xml:space="preserve">Education  </w:t>
            </w:r>
          </w:p>
        </w:tc>
      </w:tr>
      <w:tr w:rsidR="00375349" w:rsidRPr="00375349" w:rsidTr="00683B46">
        <w:tc>
          <w:tcPr>
            <w:tcW w:w="5245"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val="en-NZ" w:eastAsia="en-AU"/>
              </w:rPr>
              <w:t xml:space="preserve">Gender parity index of the gross enrolment ratio in tertiary education  </w:t>
            </w:r>
          </w:p>
        </w:tc>
        <w:tc>
          <w:tcPr>
            <w:tcW w:w="851" w:type="dxa"/>
            <w:shd w:val="clear" w:color="auto" w:fill="auto"/>
            <w:noWrap/>
            <w:hideMark/>
          </w:tcPr>
          <w:p w:rsidR="00375349" w:rsidRPr="00375349" w:rsidRDefault="00375349" w:rsidP="00683B46">
            <w:pPr>
              <w:spacing w:after="0" w:line="240" w:lineRule="auto"/>
              <w:jc w:val="center"/>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2</w:t>
            </w:r>
          </w:p>
        </w:tc>
        <w:tc>
          <w:tcPr>
            <w:tcW w:w="3827"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 xml:space="preserve">Census date affects quality of enrolment statistics </w:t>
            </w:r>
          </w:p>
        </w:tc>
        <w:tc>
          <w:tcPr>
            <w:tcW w:w="4710" w:type="dxa"/>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 xml:space="preserve">Education  </w:t>
            </w:r>
          </w:p>
        </w:tc>
      </w:tr>
      <w:tr w:rsidR="00375349" w:rsidRPr="00375349" w:rsidTr="00683B46">
        <w:tc>
          <w:tcPr>
            <w:tcW w:w="5245"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val="en-NZ" w:eastAsia="en-AU"/>
              </w:rPr>
              <w:t xml:space="preserve">Share of female science, engineering, manufacturing and construction graduates at tertiary level  </w:t>
            </w:r>
          </w:p>
        </w:tc>
        <w:tc>
          <w:tcPr>
            <w:tcW w:w="851" w:type="dxa"/>
            <w:shd w:val="clear" w:color="auto" w:fill="auto"/>
            <w:noWrap/>
            <w:hideMark/>
          </w:tcPr>
          <w:p w:rsidR="00375349" w:rsidRPr="00375349" w:rsidRDefault="00375349" w:rsidP="00683B46">
            <w:pPr>
              <w:spacing w:after="0" w:line="240" w:lineRule="auto"/>
              <w:jc w:val="center"/>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2/3</w:t>
            </w:r>
          </w:p>
        </w:tc>
        <w:tc>
          <w:tcPr>
            <w:tcW w:w="3827"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Assuming field of study is collected, no information about year qualification obtained</w:t>
            </w:r>
          </w:p>
        </w:tc>
        <w:tc>
          <w:tcPr>
            <w:tcW w:w="4710" w:type="dxa"/>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 xml:space="preserve">Education  </w:t>
            </w:r>
          </w:p>
        </w:tc>
      </w:tr>
      <w:tr w:rsidR="00375349" w:rsidRPr="00375349" w:rsidTr="00683B46">
        <w:tc>
          <w:tcPr>
            <w:tcW w:w="5245"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val="en-NZ" w:eastAsia="en-AU"/>
              </w:rPr>
              <w:t xml:space="preserve">Proportion of females among tertiary education teachers or professors  </w:t>
            </w:r>
          </w:p>
        </w:tc>
        <w:tc>
          <w:tcPr>
            <w:tcW w:w="851" w:type="dxa"/>
            <w:shd w:val="clear" w:color="auto" w:fill="auto"/>
            <w:noWrap/>
            <w:hideMark/>
          </w:tcPr>
          <w:p w:rsidR="00375349" w:rsidRPr="00375349" w:rsidRDefault="00375349" w:rsidP="00683B46">
            <w:pPr>
              <w:spacing w:after="0" w:line="240" w:lineRule="auto"/>
              <w:jc w:val="center"/>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2</w:t>
            </w:r>
          </w:p>
        </w:tc>
        <w:tc>
          <w:tcPr>
            <w:tcW w:w="3827"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 xml:space="preserve">Assuming </w:t>
            </w:r>
            <w:proofErr w:type="spellStart"/>
            <w:r w:rsidRPr="00375349">
              <w:rPr>
                <w:rFonts w:ascii="Calibri Light" w:eastAsia="Times New Roman" w:hAnsi="Calibri Light" w:cs="Times New Roman"/>
                <w:color w:val="000000"/>
                <w:sz w:val="18"/>
                <w:szCs w:val="18"/>
                <w:lang w:eastAsia="en-AU"/>
              </w:rPr>
              <w:t>ISCO</w:t>
            </w:r>
            <w:proofErr w:type="spellEnd"/>
            <w:r w:rsidRPr="00375349">
              <w:rPr>
                <w:rFonts w:ascii="Calibri Light" w:eastAsia="Times New Roman" w:hAnsi="Calibri Light" w:cs="Times New Roman"/>
                <w:color w:val="000000"/>
                <w:sz w:val="18"/>
                <w:szCs w:val="18"/>
                <w:lang w:eastAsia="en-AU"/>
              </w:rPr>
              <w:t xml:space="preserve"> '08 at the most detailed level is used</w:t>
            </w:r>
          </w:p>
        </w:tc>
        <w:tc>
          <w:tcPr>
            <w:tcW w:w="4710" w:type="dxa"/>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 xml:space="preserve">Education  </w:t>
            </w:r>
          </w:p>
        </w:tc>
      </w:tr>
      <w:tr w:rsidR="00375349" w:rsidRPr="00375349" w:rsidTr="00683B46">
        <w:tc>
          <w:tcPr>
            <w:tcW w:w="5245"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val="en-NZ" w:eastAsia="en-AU"/>
              </w:rPr>
              <w:t xml:space="preserve">Adjusted net intake rate to the first grade of primary education, by sex  </w:t>
            </w:r>
          </w:p>
        </w:tc>
        <w:tc>
          <w:tcPr>
            <w:tcW w:w="851" w:type="dxa"/>
            <w:shd w:val="clear" w:color="auto" w:fill="auto"/>
            <w:noWrap/>
            <w:hideMark/>
          </w:tcPr>
          <w:p w:rsidR="00375349" w:rsidRPr="00375349" w:rsidRDefault="00375349" w:rsidP="00683B46">
            <w:pPr>
              <w:spacing w:after="0" w:line="240" w:lineRule="auto"/>
              <w:jc w:val="center"/>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2</w:t>
            </w:r>
          </w:p>
        </w:tc>
        <w:tc>
          <w:tcPr>
            <w:tcW w:w="3827"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 xml:space="preserve">Census date affects quality of enrolment statistics </w:t>
            </w:r>
          </w:p>
        </w:tc>
        <w:tc>
          <w:tcPr>
            <w:tcW w:w="4710" w:type="dxa"/>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 xml:space="preserve">Education  </w:t>
            </w:r>
          </w:p>
        </w:tc>
      </w:tr>
      <w:tr w:rsidR="00375349" w:rsidRPr="00375349" w:rsidTr="00683B46">
        <w:tc>
          <w:tcPr>
            <w:tcW w:w="5245"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val="en-NZ" w:eastAsia="en-AU"/>
              </w:rPr>
              <w:t xml:space="preserve">Primary education completion rate (proxy), by sex  </w:t>
            </w:r>
          </w:p>
        </w:tc>
        <w:tc>
          <w:tcPr>
            <w:tcW w:w="851" w:type="dxa"/>
            <w:shd w:val="clear" w:color="auto" w:fill="auto"/>
            <w:noWrap/>
            <w:hideMark/>
          </w:tcPr>
          <w:p w:rsidR="00375349" w:rsidRPr="00375349" w:rsidRDefault="00375349" w:rsidP="00683B46">
            <w:pPr>
              <w:spacing w:after="0" w:line="240" w:lineRule="auto"/>
              <w:jc w:val="center"/>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3</w:t>
            </w:r>
          </w:p>
        </w:tc>
        <w:tc>
          <w:tcPr>
            <w:tcW w:w="3827"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 xml:space="preserve">Indirect estimation method not as accurate as </w:t>
            </w:r>
            <w:proofErr w:type="spellStart"/>
            <w:r w:rsidRPr="00375349">
              <w:rPr>
                <w:rFonts w:ascii="Calibri Light" w:eastAsia="Times New Roman" w:hAnsi="Calibri Light" w:cs="Times New Roman"/>
                <w:color w:val="000000"/>
                <w:sz w:val="18"/>
                <w:szCs w:val="18"/>
                <w:lang w:eastAsia="en-AU"/>
              </w:rPr>
              <w:t>EMIS</w:t>
            </w:r>
            <w:proofErr w:type="spellEnd"/>
          </w:p>
        </w:tc>
        <w:tc>
          <w:tcPr>
            <w:tcW w:w="4710" w:type="dxa"/>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 xml:space="preserve">Education  </w:t>
            </w:r>
          </w:p>
        </w:tc>
      </w:tr>
      <w:tr w:rsidR="00375349" w:rsidRPr="00375349" w:rsidTr="00683B46">
        <w:tc>
          <w:tcPr>
            <w:tcW w:w="5245"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val="en-NZ" w:eastAsia="en-AU"/>
              </w:rPr>
              <w:t xml:space="preserve">Gross graduation ratio from lower secondary education, by sex  </w:t>
            </w:r>
          </w:p>
        </w:tc>
        <w:tc>
          <w:tcPr>
            <w:tcW w:w="851" w:type="dxa"/>
            <w:shd w:val="clear" w:color="auto" w:fill="auto"/>
            <w:noWrap/>
            <w:hideMark/>
          </w:tcPr>
          <w:p w:rsidR="00375349" w:rsidRPr="00375349" w:rsidRDefault="00375349" w:rsidP="00683B46">
            <w:pPr>
              <w:spacing w:after="0" w:line="240" w:lineRule="auto"/>
              <w:jc w:val="center"/>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3</w:t>
            </w:r>
          </w:p>
        </w:tc>
        <w:tc>
          <w:tcPr>
            <w:tcW w:w="3827"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 xml:space="preserve">Indirect estimation method not as accurate as </w:t>
            </w:r>
            <w:proofErr w:type="spellStart"/>
            <w:r w:rsidRPr="00375349">
              <w:rPr>
                <w:rFonts w:ascii="Calibri Light" w:eastAsia="Times New Roman" w:hAnsi="Calibri Light" w:cs="Times New Roman"/>
                <w:color w:val="000000"/>
                <w:sz w:val="18"/>
                <w:szCs w:val="18"/>
                <w:lang w:eastAsia="en-AU"/>
              </w:rPr>
              <w:t>EMIS</w:t>
            </w:r>
            <w:proofErr w:type="spellEnd"/>
          </w:p>
        </w:tc>
        <w:tc>
          <w:tcPr>
            <w:tcW w:w="4710" w:type="dxa"/>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 xml:space="preserve">Education  </w:t>
            </w:r>
          </w:p>
        </w:tc>
      </w:tr>
      <w:tr w:rsidR="00375349" w:rsidRPr="00375349" w:rsidTr="00683B46">
        <w:tc>
          <w:tcPr>
            <w:tcW w:w="5245"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val="en-NZ" w:eastAsia="en-AU"/>
              </w:rPr>
              <w:t xml:space="preserve">Effective transition rate from primary to secondary education </w:t>
            </w:r>
            <w:r w:rsidRPr="00375349">
              <w:rPr>
                <w:rFonts w:ascii="Calibri Light" w:eastAsia="Times New Roman" w:hAnsi="Calibri Light" w:cs="Times New Roman"/>
                <w:color w:val="000000"/>
                <w:sz w:val="18"/>
                <w:szCs w:val="18"/>
                <w:lang w:val="en-NZ" w:eastAsia="en-AU"/>
              </w:rPr>
              <w:lastRenderedPageBreak/>
              <w:t xml:space="preserve">(general programmes), by sex  </w:t>
            </w:r>
          </w:p>
        </w:tc>
        <w:tc>
          <w:tcPr>
            <w:tcW w:w="851" w:type="dxa"/>
            <w:shd w:val="clear" w:color="auto" w:fill="auto"/>
            <w:noWrap/>
            <w:hideMark/>
          </w:tcPr>
          <w:p w:rsidR="00375349" w:rsidRPr="00375349" w:rsidRDefault="00375349" w:rsidP="00683B46">
            <w:pPr>
              <w:spacing w:after="0" w:line="240" w:lineRule="auto"/>
              <w:jc w:val="center"/>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lastRenderedPageBreak/>
              <w:t>3</w:t>
            </w:r>
          </w:p>
        </w:tc>
        <w:tc>
          <w:tcPr>
            <w:tcW w:w="3827"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 xml:space="preserve">Indirect estimation method not as accurate as </w:t>
            </w:r>
            <w:proofErr w:type="spellStart"/>
            <w:r w:rsidRPr="00375349">
              <w:rPr>
                <w:rFonts w:ascii="Calibri Light" w:eastAsia="Times New Roman" w:hAnsi="Calibri Light" w:cs="Times New Roman"/>
                <w:color w:val="000000"/>
                <w:sz w:val="18"/>
                <w:szCs w:val="18"/>
                <w:lang w:eastAsia="en-AU"/>
              </w:rPr>
              <w:lastRenderedPageBreak/>
              <w:t>EMIS</w:t>
            </w:r>
            <w:proofErr w:type="spellEnd"/>
          </w:p>
        </w:tc>
        <w:tc>
          <w:tcPr>
            <w:tcW w:w="4710" w:type="dxa"/>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lastRenderedPageBreak/>
              <w:t xml:space="preserve">Education  </w:t>
            </w:r>
          </w:p>
        </w:tc>
      </w:tr>
      <w:tr w:rsidR="00375349" w:rsidRPr="00375349" w:rsidTr="00683B46">
        <w:tc>
          <w:tcPr>
            <w:tcW w:w="5245"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val="en-NZ" w:eastAsia="en-AU"/>
              </w:rPr>
              <w:lastRenderedPageBreak/>
              <w:t xml:space="preserve">Educational attainment (primary) of the population aged 25 and older, by sex  </w:t>
            </w:r>
          </w:p>
        </w:tc>
        <w:tc>
          <w:tcPr>
            <w:tcW w:w="851" w:type="dxa"/>
            <w:shd w:val="clear" w:color="auto" w:fill="auto"/>
            <w:noWrap/>
            <w:hideMark/>
          </w:tcPr>
          <w:p w:rsidR="00375349" w:rsidRPr="00375349" w:rsidRDefault="00375349" w:rsidP="00683B46">
            <w:pPr>
              <w:spacing w:after="0" w:line="240" w:lineRule="auto"/>
              <w:jc w:val="center"/>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1</w:t>
            </w:r>
          </w:p>
        </w:tc>
        <w:tc>
          <w:tcPr>
            <w:tcW w:w="3827"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p>
        </w:tc>
        <w:tc>
          <w:tcPr>
            <w:tcW w:w="4710" w:type="dxa"/>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 xml:space="preserve">Education  </w:t>
            </w:r>
          </w:p>
        </w:tc>
      </w:tr>
      <w:tr w:rsidR="00375349" w:rsidRPr="00375349" w:rsidTr="00683B46">
        <w:tc>
          <w:tcPr>
            <w:tcW w:w="5245"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val="en-NZ" w:eastAsia="en-AU"/>
              </w:rPr>
              <w:t xml:space="preserve">Educational attainment (lower secondary) of the population aged 25 and older, by sex  </w:t>
            </w:r>
          </w:p>
        </w:tc>
        <w:tc>
          <w:tcPr>
            <w:tcW w:w="851" w:type="dxa"/>
            <w:shd w:val="clear" w:color="auto" w:fill="auto"/>
            <w:noWrap/>
            <w:hideMark/>
          </w:tcPr>
          <w:p w:rsidR="00375349" w:rsidRPr="00375349" w:rsidRDefault="00375349" w:rsidP="00683B46">
            <w:pPr>
              <w:spacing w:after="0" w:line="240" w:lineRule="auto"/>
              <w:jc w:val="center"/>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1</w:t>
            </w:r>
          </w:p>
        </w:tc>
        <w:tc>
          <w:tcPr>
            <w:tcW w:w="3827" w:type="dxa"/>
            <w:shd w:val="clear" w:color="auto" w:fill="auto"/>
            <w:noWrap/>
            <w:hideMark/>
          </w:tcPr>
          <w:p w:rsidR="00375349" w:rsidRPr="00375349" w:rsidRDefault="00A71342" w:rsidP="00683B46">
            <w:pPr>
              <w:spacing w:after="0" w:line="240" w:lineRule="auto"/>
              <w:rPr>
                <w:rFonts w:ascii="Calibri Light" w:eastAsia="Times New Roman" w:hAnsi="Calibri Light" w:cs="Times New Roman"/>
                <w:color w:val="000000"/>
                <w:sz w:val="18"/>
                <w:szCs w:val="18"/>
                <w:lang w:eastAsia="en-AU"/>
              </w:rPr>
            </w:pPr>
            <w:r>
              <w:rPr>
                <w:rFonts w:ascii="Calibri Light" w:eastAsia="Times New Roman" w:hAnsi="Calibri Light" w:cs="Times New Roman"/>
                <w:color w:val="000000"/>
                <w:sz w:val="18"/>
                <w:szCs w:val="18"/>
                <w:lang w:eastAsia="en-AU"/>
              </w:rPr>
              <w:t>N</w:t>
            </w:r>
            <w:r w:rsidR="00375349" w:rsidRPr="00375349">
              <w:rPr>
                <w:rFonts w:ascii="Calibri Light" w:eastAsia="Times New Roman" w:hAnsi="Calibri Light" w:cs="Times New Roman"/>
                <w:color w:val="000000"/>
                <w:sz w:val="18"/>
                <w:szCs w:val="18"/>
                <w:lang w:eastAsia="en-AU"/>
              </w:rPr>
              <w:t>eed to make sure question separates lower- and upper-secondary</w:t>
            </w:r>
          </w:p>
        </w:tc>
        <w:tc>
          <w:tcPr>
            <w:tcW w:w="4710" w:type="dxa"/>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 xml:space="preserve">Education  </w:t>
            </w:r>
          </w:p>
        </w:tc>
      </w:tr>
      <w:tr w:rsidR="00375349" w:rsidRPr="00375349" w:rsidTr="00683B46">
        <w:tc>
          <w:tcPr>
            <w:tcW w:w="5245"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val="en-NZ" w:eastAsia="en-AU"/>
              </w:rPr>
              <w:t xml:space="preserve">Educational attainment (upper secondary) of the population aged 25 and older, by sex  </w:t>
            </w:r>
          </w:p>
        </w:tc>
        <w:tc>
          <w:tcPr>
            <w:tcW w:w="851" w:type="dxa"/>
            <w:shd w:val="clear" w:color="auto" w:fill="auto"/>
            <w:noWrap/>
            <w:hideMark/>
          </w:tcPr>
          <w:p w:rsidR="00375349" w:rsidRPr="00375349" w:rsidRDefault="00375349" w:rsidP="00683B46">
            <w:pPr>
              <w:spacing w:after="0" w:line="240" w:lineRule="auto"/>
              <w:jc w:val="center"/>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1</w:t>
            </w:r>
          </w:p>
        </w:tc>
        <w:tc>
          <w:tcPr>
            <w:tcW w:w="3827" w:type="dxa"/>
            <w:shd w:val="clear" w:color="auto" w:fill="auto"/>
            <w:noWrap/>
            <w:hideMark/>
          </w:tcPr>
          <w:p w:rsidR="00375349" w:rsidRPr="00375349" w:rsidRDefault="00A71342" w:rsidP="00683B46">
            <w:pPr>
              <w:spacing w:after="0" w:line="240" w:lineRule="auto"/>
              <w:rPr>
                <w:rFonts w:ascii="Calibri Light" w:eastAsia="Times New Roman" w:hAnsi="Calibri Light" w:cs="Times New Roman"/>
                <w:color w:val="000000"/>
                <w:sz w:val="18"/>
                <w:szCs w:val="18"/>
                <w:lang w:eastAsia="en-AU"/>
              </w:rPr>
            </w:pPr>
            <w:r>
              <w:rPr>
                <w:rFonts w:ascii="Calibri Light" w:eastAsia="Times New Roman" w:hAnsi="Calibri Light" w:cs="Times New Roman"/>
                <w:color w:val="000000"/>
                <w:sz w:val="18"/>
                <w:szCs w:val="18"/>
                <w:lang w:eastAsia="en-AU"/>
              </w:rPr>
              <w:t>N</w:t>
            </w:r>
            <w:r w:rsidR="00375349" w:rsidRPr="00375349">
              <w:rPr>
                <w:rFonts w:ascii="Calibri Light" w:eastAsia="Times New Roman" w:hAnsi="Calibri Light" w:cs="Times New Roman"/>
                <w:color w:val="000000"/>
                <w:sz w:val="18"/>
                <w:szCs w:val="18"/>
                <w:lang w:eastAsia="en-AU"/>
              </w:rPr>
              <w:t>eed to make sure question separates lower- and upper-secondary</w:t>
            </w:r>
          </w:p>
        </w:tc>
        <w:tc>
          <w:tcPr>
            <w:tcW w:w="4710" w:type="dxa"/>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 xml:space="preserve">Education  </w:t>
            </w:r>
          </w:p>
        </w:tc>
      </w:tr>
      <w:tr w:rsidR="00375349" w:rsidRPr="00375349" w:rsidTr="00683B46">
        <w:tc>
          <w:tcPr>
            <w:tcW w:w="5245"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val="en-NZ" w:eastAsia="en-AU"/>
              </w:rPr>
              <w:t xml:space="preserve">Educational attainment (post-secondary) of the population aged 25 and older, by sex  </w:t>
            </w:r>
          </w:p>
        </w:tc>
        <w:tc>
          <w:tcPr>
            <w:tcW w:w="851" w:type="dxa"/>
            <w:shd w:val="clear" w:color="auto" w:fill="auto"/>
            <w:noWrap/>
            <w:hideMark/>
          </w:tcPr>
          <w:p w:rsidR="00375349" w:rsidRPr="00375349" w:rsidRDefault="00375349" w:rsidP="00683B46">
            <w:pPr>
              <w:spacing w:after="0" w:line="240" w:lineRule="auto"/>
              <w:jc w:val="center"/>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1</w:t>
            </w:r>
          </w:p>
        </w:tc>
        <w:tc>
          <w:tcPr>
            <w:tcW w:w="3827"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 xml:space="preserve">Assumes </w:t>
            </w:r>
            <w:proofErr w:type="spellStart"/>
            <w:r w:rsidRPr="00375349">
              <w:rPr>
                <w:rFonts w:ascii="Calibri Light" w:eastAsia="Times New Roman" w:hAnsi="Calibri Light" w:cs="Times New Roman"/>
                <w:color w:val="000000"/>
                <w:sz w:val="18"/>
                <w:szCs w:val="18"/>
                <w:lang w:eastAsia="en-AU"/>
              </w:rPr>
              <w:t>ISCED</w:t>
            </w:r>
            <w:proofErr w:type="spellEnd"/>
            <w:r w:rsidRPr="00375349">
              <w:rPr>
                <w:rFonts w:ascii="Calibri Light" w:eastAsia="Times New Roman" w:hAnsi="Calibri Light" w:cs="Times New Roman"/>
                <w:color w:val="000000"/>
                <w:sz w:val="18"/>
                <w:szCs w:val="18"/>
                <w:lang w:eastAsia="en-AU"/>
              </w:rPr>
              <w:t xml:space="preserve"> is going to be used for education and training qualification coding </w:t>
            </w:r>
          </w:p>
        </w:tc>
        <w:tc>
          <w:tcPr>
            <w:tcW w:w="4710" w:type="dxa"/>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 xml:space="preserve">Education  </w:t>
            </w:r>
          </w:p>
        </w:tc>
      </w:tr>
      <w:tr w:rsidR="00375349" w:rsidRPr="00375349" w:rsidTr="00683B46">
        <w:tc>
          <w:tcPr>
            <w:tcW w:w="5245"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val="en-NZ" w:eastAsia="en-AU"/>
              </w:rPr>
              <w:t xml:space="preserve">Educational attainment (tertiary) of the population aged 25 and older, by sex  </w:t>
            </w:r>
          </w:p>
        </w:tc>
        <w:tc>
          <w:tcPr>
            <w:tcW w:w="851" w:type="dxa"/>
            <w:shd w:val="clear" w:color="auto" w:fill="auto"/>
            <w:noWrap/>
            <w:hideMark/>
          </w:tcPr>
          <w:p w:rsidR="00375349" w:rsidRPr="00375349" w:rsidRDefault="00375349" w:rsidP="00683B46">
            <w:pPr>
              <w:spacing w:after="0" w:line="240" w:lineRule="auto"/>
              <w:jc w:val="center"/>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1</w:t>
            </w:r>
          </w:p>
        </w:tc>
        <w:tc>
          <w:tcPr>
            <w:tcW w:w="3827"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p>
        </w:tc>
        <w:tc>
          <w:tcPr>
            <w:tcW w:w="4710" w:type="dxa"/>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 xml:space="preserve">Education  </w:t>
            </w:r>
          </w:p>
        </w:tc>
      </w:tr>
      <w:tr w:rsidR="00375349" w:rsidRPr="00375349" w:rsidTr="00683B46">
        <w:tc>
          <w:tcPr>
            <w:tcW w:w="5245"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val="en-NZ" w:eastAsia="en-AU"/>
              </w:rPr>
              <w:t xml:space="preserve">Contraceptive prevalence among women who are married or in a union, aged 15-49  </w:t>
            </w:r>
          </w:p>
        </w:tc>
        <w:tc>
          <w:tcPr>
            <w:tcW w:w="851" w:type="dxa"/>
            <w:shd w:val="clear" w:color="auto" w:fill="auto"/>
            <w:noWrap/>
            <w:hideMark/>
          </w:tcPr>
          <w:p w:rsidR="00375349" w:rsidRPr="00375349" w:rsidRDefault="00375349" w:rsidP="00683B46">
            <w:pPr>
              <w:spacing w:after="0" w:line="240" w:lineRule="auto"/>
              <w:jc w:val="center"/>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9</w:t>
            </w:r>
          </w:p>
        </w:tc>
        <w:tc>
          <w:tcPr>
            <w:tcW w:w="3827"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p>
        </w:tc>
        <w:tc>
          <w:tcPr>
            <w:tcW w:w="4710" w:type="dxa"/>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w:hAnsi="Calibri Light" w:cs="Times New Roman"/>
                <w:color w:val="000000"/>
                <w:sz w:val="18"/>
                <w:szCs w:val="18"/>
                <w:lang w:val="en-NZ" w:eastAsia="en-AU"/>
              </w:rPr>
              <w:t xml:space="preserve">Health and related services  </w:t>
            </w:r>
          </w:p>
        </w:tc>
      </w:tr>
      <w:tr w:rsidR="00375349" w:rsidRPr="00375349" w:rsidTr="00683B46">
        <w:tc>
          <w:tcPr>
            <w:tcW w:w="5245"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val="en-NZ" w:eastAsia="en-AU"/>
              </w:rPr>
              <w:t xml:space="preserve">Under-five mortality rate, by sex  </w:t>
            </w:r>
          </w:p>
        </w:tc>
        <w:tc>
          <w:tcPr>
            <w:tcW w:w="851" w:type="dxa"/>
            <w:shd w:val="clear" w:color="auto" w:fill="auto"/>
            <w:noWrap/>
            <w:hideMark/>
          </w:tcPr>
          <w:p w:rsidR="00375349" w:rsidRPr="00375349" w:rsidRDefault="00375349" w:rsidP="00683B46">
            <w:pPr>
              <w:spacing w:after="0" w:line="240" w:lineRule="auto"/>
              <w:jc w:val="center"/>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1</w:t>
            </w:r>
          </w:p>
        </w:tc>
        <w:tc>
          <w:tcPr>
            <w:tcW w:w="3827"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p>
        </w:tc>
        <w:tc>
          <w:tcPr>
            <w:tcW w:w="4710" w:type="dxa"/>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 xml:space="preserve">Health and related services  </w:t>
            </w:r>
          </w:p>
        </w:tc>
      </w:tr>
      <w:tr w:rsidR="00375349" w:rsidRPr="00375349" w:rsidTr="00683B46">
        <w:tc>
          <w:tcPr>
            <w:tcW w:w="5245"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val="en-NZ" w:eastAsia="en-AU"/>
              </w:rPr>
              <w:t xml:space="preserve">Maternal mortality </w:t>
            </w:r>
          </w:p>
        </w:tc>
        <w:tc>
          <w:tcPr>
            <w:tcW w:w="851" w:type="dxa"/>
            <w:shd w:val="clear" w:color="auto" w:fill="auto"/>
            <w:noWrap/>
            <w:hideMark/>
          </w:tcPr>
          <w:p w:rsidR="00375349" w:rsidRPr="00375349" w:rsidRDefault="00375349" w:rsidP="00683B46">
            <w:pPr>
              <w:spacing w:after="0" w:line="240" w:lineRule="auto"/>
              <w:jc w:val="center"/>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3</w:t>
            </w:r>
          </w:p>
        </w:tc>
        <w:tc>
          <w:tcPr>
            <w:tcW w:w="3827"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 xml:space="preserve">Survival of the sisters of adult household members is not asked in </w:t>
            </w:r>
            <w:proofErr w:type="spellStart"/>
            <w:r w:rsidRPr="00375349">
              <w:rPr>
                <w:rFonts w:ascii="Calibri Light" w:eastAsia="Times New Roman" w:hAnsi="Calibri Light" w:cs="Times New Roman"/>
                <w:color w:val="000000"/>
                <w:sz w:val="18"/>
                <w:szCs w:val="18"/>
                <w:lang w:eastAsia="en-AU"/>
              </w:rPr>
              <w:t>PICs</w:t>
            </w:r>
            <w:proofErr w:type="spellEnd"/>
          </w:p>
        </w:tc>
        <w:tc>
          <w:tcPr>
            <w:tcW w:w="4710" w:type="dxa"/>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 xml:space="preserve">Health and related services  </w:t>
            </w:r>
          </w:p>
        </w:tc>
      </w:tr>
      <w:tr w:rsidR="00375349" w:rsidRPr="00375349" w:rsidTr="00683B46">
        <w:tc>
          <w:tcPr>
            <w:tcW w:w="5245"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val="en-NZ" w:eastAsia="en-AU"/>
              </w:rPr>
              <w:t>Antenatal care coverage, at least one visit</w:t>
            </w:r>
          </w:p>
        </w:tc>
        <w:tc>
          <w:tcPr>
            <w:tcW w:w="851" w:type="dxa"/>
            <w:shd w:val="clear" w:color="auto" w:fill="auto"/>
            <w:noWrap/>
            <w:hideMark/>
          </w:tcPr>
          <w:p w:rsidR="00375349" w:rsidRPr="00375349" w:rsidRDefault="00375349" w:rsidP="00683B46">
            <w:pPr>
              <w:spacing w:after="0" w:line="240" w:lineRule="auto"/>
              <w:jc w:val="center"/>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9</w:t>
            </w:r>
          </w:p>
        </w:tc>
        <w:tc>
          <w:tcPr>
            <w:tcW w:w="3827"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p>
        </w:tc>
        <w:tc>
          <w:tcPr>
            <w:tcW w:w="4710" w:type="dxa"/>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 xml:space="preserve">Health and related services  </w:t>
            </w:r>
          </w:p>
        </w:tc>
      </w:tr>
      <w:tr w:rsidR="00375349" w:rsidRPr="00375349" w:rsidTr="00683B46">
        <w:tc>
          <w:tcPr>
            <w:tcW w:w="5245"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val="en-NZ" w:eastAsia="en-AU"/>
              </w:rPr>
              <w:t xml:space="preserve">Antenatal care coverage, at least four visits </w:t>
            </w:r>
          </w:p>
        </w:tc>
        <w:tc>
          <w:tcPr>
            <w:tcW w:w="851" w:type="dxa"/>
            <w:shd w:val="clear" w:color="auto" w:fill="auto"/>
            <w:noWrap/>
            <w:hideMark/>
          </w:tcPr>
          <w:p w:rsidR="00375349" w:rsidRPr="00375349" w:rsidRDefault="00375349" w:rsidP="00683B46">
            <w:pPr>
              <w:spacing w:after="0" w:line="240" w:lineRule="auto"/>
              <w:jc w:val="center"/>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9</w:t>
            </w:r>
          </w:p>
        </w:tc>
        <w:tc>
          <w:tcPr>
            <w:tcW w:w="3827"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p>
        </w:tc>
        <w:tc>
          <w:tcPr>
            <w:tcW w:w="4710" w:type="dxa"/>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 xml:space="preserve">Health and related services  </w:t>
            </w:r>
          </w:p>
        </w:tc>
      </w:tr>
      <w:tr w:rsidR="00375349" w:rsidRPr="00375349" w:rsidTr="00683B46">
        <w:tc>
          <w:tcPr>
            <w:tcW w:w="5245"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val="en-NZ" w:eastAsia="en-AU"/>
              </w:rPr>
              <w:t>Proportion of births attended by skilled health professional</w:t>
            </w:r>
          </w:p>
        </w:tc>
        <w:tc>
          <w:tcPr>
            <w:tcW w:w="851" w:type="dxa"/>
            <w:shd w:val="clear" w:color="auto" w:fill="auto"/>
            <w:noWrap/>
            <w:hideMark/>
          </w:tcPr>
          <w:p w:rsidR="00375349" w:rsidRPr="00375349" w:rsidRDefault="00375349" w:rsidP="00683B46">
            <w:pPr>
              <w:spacing w:after="0" w:line="240" w:lineRule="auto"/>
              <w:jc w:val="center"/>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9</w:t>
            </w:r>
          </w:p>
        </w:tc>
        <w:tc>
          <w:tcPr>
            <w:tcW w:w="3827"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p>
        </w:tc>
        <w:tc>
          <w:tcPr>
            <w:tcW w:w="4710" w:type="dxa"/>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 xml:space="preserve">Health and related services  </w:t>
            </w:r>
          </w:p>
        </w:tc>
      </w:tr>
      <w:tr w:rsidR="00375349" w:rsidRPr="00375349" w:rsidTr="00683B46">
        <w:tc>
          <w:tcPr>
            <w:tcW w:w="5245"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val="en-NZ" w:eastAsia="en-AU"/>
              </w:rPr>
              <w:t xml:space="preserve">Smoking prevalence among persons aged 15 and over, by sex  </w:t>
            </w:r>
          </w:p>
        </w:tc>
        <w:tc>
          <w:tcPr>
            <w:tcW w:w="851" w:type="dxa"/>
            <w:shd w:val="clear" w:color="auto" w:fill="auto"/>
            <w:noWrap/>
            <w:hideMark/>
          </w:tcPr>
          <w:p w:rsidR="00375349" w:rsidRPr="00375349" w:rsidRDefault="00375349" w:rsidP="00683B46">
            <w:pPr>
              <w:spacing w:after="0" w:line="240" w:lineRule="auto"/>
              <w:jc w:val="center"/>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2</w:t>
            </w:r>
          </w:p>
        </w:tc>
        <w:tc>
          <w:tcPr>
            <w:tcW w:w="3827"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STEPS preferred source</w:t>
            </w:r>
          </w:p>
        </w:tc>
        <w:tc>
          <w:tcPr>
            <w:tcW w:w="4710" w:type="dxa"/>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 xml:space="preserve">Health and related services  </w:t>
            </w:r>
          </w:p>
        </w:tc>
      </w:tr>
      <w:tr w:rsidR="00375349" w:rsidRPr="00375349" w:rsidTr="00683B46">
        <w:tc>
          <w:tcPr>
            <w:tcW w:w="5245"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val="en-NZ" w:eastAsia="en-AU"/>
              </w:rPr>
              <w:t xml:space="preserve">Proportion of adults who are obese, by sex  </w:t>
            </w:r>
          </w:p>
        </w:tc>
        <w:tc>
          <w:tcPr>
            <w:tcW w:w="851" w:type="dxa"/>
            <w:shd w:val="clear" w:color="auto" w:fill="auto"/>
            <w:noWrap/>
            <w:hideMark/>
          </w:tcPr>
          <w:p w:rsidR="00375349" w:rsidRPr="00375349" w:rsidRDefault="00375349" w:rsidP="00683B46">
            <w:pPr>
              <w:spacing w:after="0" w:line="240" w:lineRule="auto"/>
              <w:jc w:val="center"/>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9</w:t>
            </w:r>
          </w:p>
        </w:tc>
        <w:tc>
          <w:tcPr>
            <w:tcW w:w="3827"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p>
        </w:tc>
        <w:tc>
          <w:tcPr>
            <w:tcW w:w="4710" w:type="dxa"/>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 xml:space="preserve">Health and related services  </w:t>
            </w:r>
          </w:p>
        </w:tc>
      </w:tr>
      <w:tr w:rsidR="00375349" w:rsidRPr="00375349" w:rsidTr="00683B46">
        <w:tc>
          <w:tcPr>
            <w:tcW w:w="5245"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val="en-NZ" w:eastAsia="en-AU"/>
              </w:rPr>
              <w:t>Women’s share of population aged 15-49 living with HIV/AIDS</w:t>
            </w:r>
          </w:p>
        </w:tc>
        <w:tc>
          <w:tcPr>
            <w:tcW w:w="851" w:type="dxa"/>
            <w:shd w:val="clear" w:color="auto" w:fill="auto"/>
            <w:noWrap/>
            <w:hideMark/>
          </w:tcPr>
          <w:p w:rsidR="00375349" w:rsidRPr="00375349" w:rsidRDefault="00375349" w:rsidP="00683B46">
            <w:pPr>
              <w:spacing w:after="0" w:line="240" w:lineRule="auto"/>
              <w:jc w:val="center"/>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9</w:t>
            </w:r>
          </w:p>
        </w:tc>
        <w:tc>
          <w:tcPr>
            <w:tcW w:w="3827"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p>
        </w:tc>
        <w:tc>
          <w:tcPr>
            <w:tcW w:w="4710" w:type="dxa"/>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 xml:space="preserve">Health and related services  </w:t>
            </w:r>
          </w:p>
        </w:tc>
      </w:tr>
      <w:tr w:rsidR="00375349" w:rsidRPr="00375349" w:rsidTr="00683B46">
        <w:tc>
          <w:tcPr>
            <w:tcW w:w="5245"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val="en-NZ" w:eastAsia="en-AU"/>
              </w:rPr>
              <w:t xml:space="preserve">Access to anti-retroviral drug, by sex  </w:t>
            </w:r>
          </w:p>
        </w:tc>
        <w:tc>
          <w:tcPr>
            <w:tcW w:w="851" w:type="dxa"/>
            <w:shd w:val="clear" w:color="auto" w:fill="auto"/>
            <w:noWrap/>
            <w:hideMark/>
          </w:tcPr>
          <w:p w:rsidR="00375349" w:rsidRPr="00375349" w:rsidRDefault="00375349" w:rsidP="00683B46">
            <w:pPr>
              <w:spacing w:after="0" w:line="240" w:lineRule="auto"/>
              <w:jc w:val="center"/>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9</w:t>
            </w:r>
          </w:p>
        </w:tc>
        <w:tc>
          <w:tcPr>
            <w:tcW w:w="3827"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p>
        </w:tc>
        <w:tc>
          <w:tcPr>
            <w:tcW w:w="4710" w:type="dxa"/>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 xml:space="preserve">Health and related services  </w:t>
            </w:r>
          </w:p>
        </w:tc>
      </w:tr>
      <w:tr w:rsidR="00375349" w:rsidRPr="00375349" w:rsidTr="00683B46">
        <w:tc>
          <w:tcPr>
            <w:tcW w:w="5245"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val="en-NZ" w:eastAsia="en-AU"/>
              </w:rPr>
              <w:t xml:space="preserve">Life expectancy at age 60, by sex  </w:t>
            </w:r>
          </w:p>
        </w:tc>
        <w:tc>
          <w:tcPr>
            <w:tcW w:w="851" w:type="dxa"/>
            <w:shd w:val="clear" w:color="auto" w:fill="auto"/>
            <w:noWrap/>
            <w:hideMark/>
          </w:tcPr>
          <w:p w:rsidR="00375349" w:rsidRPr="00375349" w:rsidRDefault="00375349" w:rsidP="00683B46">
            <w:pPr>
              <w:spacing w:after="0" w:line="240" w:lineRule="auto"/>
              <w:jc w:val="center"/>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1</w:t>
            </w:r>
          </w:p>
        </w:tc>
        <w:tc>
          <w:tcPr>
            <w:tcW w:w="3827"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p>
        </w:tc>
        <w:tc>
          <w:tcPr>
            <w:tcW w:w="4710" w:type="dxa"/>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 xml:space="preserve">Health and related services  </w:t>
            </w:r>
          </w:p>
        </w:tc>
      </w:tr>
      <w:tr w:rsidR="00375349" w:rsidRPr="00375349" w:rsidTr="00683B46">
        <w:tc>
          <w:tcPr>
            <w:tcW w:w="5245"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val="en-NZ" w:eastAsia="en-AU"/>
              </w:rPr>
              <w:t xml:space="preserve">Adult mortality 15-34 years by cause  </w:t>
            </w:r>
          </w:p>
        </w:tc>
        <w:tc>
          <w:tcPr>
            <w:tcW w:w="851" w:type="dxa"/>
            <w:shd w:val="clear" w:color="auto" w:fill="auto"/>
            <w:noWrap/>
            <w:hideMark/>
          </w:tcPr>
          <w:p w:rsidR="00375349" w:rsidRPr="00375349" w:rsidRDefault="00375349" w:rsidP="00683B46">
            <w:pPr>
              <w:spacing w:after="0" w:line="240" w:lineRule="auto"/>
              <w:jc w:val="center"/>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9</w:t>
            </w:r>
          </w:p>
        </w:tc>
        <w:tc>
          <w:tcPr>
            <w:tcW w:w="3827"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p>
        </w:tc>
        <w:tc>
          <w:tcPr>
            <w:tcW w:w="4710" w:type="dxa"/>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 xml:space="preserve">Health and related services  </w:t>
            </w:r>
          </w:p>
        </w:tc>
      </w:tr>
      <w:tr w:rsidR="00375349" w:rsidRPr="00375349" w:rsidTr="00683B46">
        <w:tc>
          <w:tcPr>
            <w:tcW w:w="5245"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val="en-NZ" w:eastAsia="en-AU"/>
              </w:rPr>
              <w:t xml:space="preserve">Adult mortality 35-59 years by cause  </w:t>
            </w:r>
          </w:p>
        </w:tc>
        <w:tc>
          <w:tcPr>
            <w:tcW w:w="851" w:type="dxa"/>
            <w:shd w:val="clear" w:color="auto" w:fill="auto"/>
            <w:noWrap/>
            <w:hideMark/>
          </w:tcPr>
          <w:p w:rsidR="00375349" w:rsidRPr="00375349" w:rsidRDefault="00375349" w:rsidP="00683B46">
            <w:pPr>
              <w:spacing w:after="0" w:line="240" w:lineRule="auto"/>
              <w:jc w:val="center"/>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9</w:t>
            </w:r>
          </w:p>
        </w:tc>
        <w:tc>
          <w:tcPr>
            <w:tcW w:w="3827"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p>
        </w:tc>
        <w:tc>
          <w:tcPr>
            <w:tcW w:w="4710" w:type="dxa"/>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 xml:space="preserve">Health and related services  </w:t>
            </w:r>
          </w:p>
        </w:tc>
      </w:tr>
      <w:tr w:rsidR="00375349" w:rsidRPr="00375349" w:rsidTr="00683B46">
        <w:tc>
          <w:tcPr>
            <w:tcW w:w="5245"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val="en-NZ" w:eastAsia="en-AU"/>
              </w:rPr>
              <w:t xml:space="preserve">Percentage of women aged 20-24 years old who were married or in a union before age </w:t>
            </w:r>
          </w:p>
        </w:tc>
        <w:tc>
          <w:tcPr>
            <w:tcW w:w="851" w:type="dxa"/>
            <w:shd w:val="clear" w:color="auto" w:fill="auto"/>
            <w:noWrap/>
            <w:hideMark/>
          </w:tcPr>
          <w:p w:rsidR="00375349" w:rsidRPr="00375349" w:rsidRDefault="00375349" w:rsidP="00683B46">
            <w:pPr>
              <w:spacing w:after="0" w:line="240" w:lineRule="auto"/>
              <w:jc w:val="center"/>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2</w:t>
            </w:r>
          </w:p>
        </w:tc>
        <w:tc>
          <w:tcPr>
            <w:tcW w:w="3827"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Indirect estimation methods</w:t>
            </w:r>
          </w:p>
        </w:tc>
        <w:tc>
          <w:tcPr>
            <w:tcW w:w="4710" w:type="dxa"/>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w:hAnsi="Calibri Light" w:cs="Times New Roman"/>
                <w:color w:val="000000"/>
                <w:sz w:val="18"/>
                <w:szCs w:val="18"/>
                <w:lang w:val="en-NZ" w:eastAsia="en-AU"/>
              </w:rPr>
              <w:t xml:space="preserve">Human rights of women and girl children  </w:t>
            </w:r>
          </w:p>
        </w:tc>
      </w:tr>
      <w:tr w:rsidR="00375349" w:rsidRPr="00375349" w:rsidTr="00683B46">
        <w:tc>
          <w:tcPr>
            <w:tcW w:w="5245"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val="en-NZ" w:eastAsia="en-AU"/>
              </w:rPr>
              <w:t xml:space="preserve">Adolescent birth rate  </w:t>
            </w:r>
          </w:p>
        </w:tc>
        <w:tc>
          <w:tcPr>
            <w:tcW w:w="851" w:type="dxa"/>
            <w:shd w:val="clear" w:color="auto" w:fill="auto"/>
            <w:noWrap/>
            <w:hideMark/>
          </w:tcPr>
          <w:p w:rsidR="00375349" w:rsidRPr="00375349" w:rsidRDefault="00375349" w:rsidP="00683B46">
            <w:pPr>
              <w:spacing w:after="0" w:line="240" w:lineRule="auto"/>
              <w:jc w:val="center"/>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1</w:t>
            </w:r>
          </w:p>
        </w:tc>
        <w:tc>
          <w:tcPr>
            <w:tcW w:w="3827"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p>
        </w:tc>
        <w:tc>
          <w:tcPr>
            <w:tcW w:w="4710" w:type="dxa"/>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 xml:space="preserve">Human rights of women and girl children  </w:t>
            </w:r>
          </w:p>
        </w:tc>
      </w:tr>
      <w:tr w:rsidR="00375349" w:rsidRPr="00375349" w:rsidTr="00683B46">
        <w:tc>
          <w:tcPr>
            <w:tcW w:w="5245"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val="en-NZ" w:eastAsia="en-AU"/>
              </w:rPr>
              <w:t xml:space="preserve">Women’s share of government ministerial positions  </w:t>
            </w:r>
          </w:p>
        </w:tc>
        <w:tc>
          <w:tcPr>
            <w:tcW w:w="851" w:type="dxa"/>
            <w:shd w:val="clear" w:color="auto" w:fill="auto"/>
            <w:noWrap/>
            <w:hideMark/>
          </w:tcPr>
          <w:p w:rsidR="00375349" w:rsidRPr="00375349" w:rsidRDefault="00375349" w:rsidP="00683B46">
            <w:pPr>
              <w:spacing w:after="0" w:line="240" w:lineRule="auto"/>
              <w:jc w:val="center"/>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3</w:t>
            </w:r>
          </w:p>
        </w:tc>
        <w:tc>
          <w:tcPr>
            <w:tcW w:w="3827"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p>
        </w:tc>
        <w:tc>
          <w:tcPr>
            <w:tcW w:w="4710" w:type="dxa"/>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w:hAnsi="Calibri Light" w:cs="Times New Roman"/>
                <w:color w:val="000000"/>
                <w:sz w:val="18"/>
                <w:szCs w:val="18"/>
                <w:lang w:val="en-NZ" w:eastAsia="en-AU"/>
              </w:rPr>
              <w:t xml:space="preserve">Public life and decision-making  </w:t>
            </w:r>
          </w:p>
        </w:tc>
      </w:tr>
      <w:tr w:rsidR="00375349" w:rsidRPr="00375349" w:rsidTr="00683B46">
        <w:tc>
          <w:tcPr>
            <w:tcW w:w="5245"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val="en-NZ" w:eastAsia="en-AU"/>
              </w:rPr>
              <w:t xml:space="preserve">Proportion of seats held by women in national parliament  </w:t>
            </w:r>
          </w:p>
        </w:tc>
        <w:tc>
          <w:tcPr>
            <w:tcW w:w="851" w:type="dxa"/>
            <w:shd w:val="clear" w:color="auto" w:fill="auto"/>
            <w:noWrap/>
            <w:hideMark/>
          </w:tcPr>
          <w:p w:rsidR="00375349" w:rsidRPr="00375349" w:rsidRDefault="00375349" w:rsidP="00683B46">
            <w:pPr>
              <w:spacing w:after="0" w:line="240" w:lineRule="auto"/>
              <w:jc w:val="center"/>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3</w:t>
            </w:r>
          </w:p>
        </w:tc>
        <w:tc>
          <w:tcPr>
            <w:tcW w:w="3827"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p>
        </w:tc>
        <w:tc>
          <w:tcPr>
            <w:tcW w:w="4710" w:type="dxa"/>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 xml:space="preserve">Public life and decision-making  </w:t>
            </w:r>
          </w:p>
        </w:tc>
      </w:tr>
      <w:tr w:rsidR="00375349" w:rsidRPr="00375349" w:rsidTr="00683B46">
        <w:tc>
          <w:tcPr>
            <w:tcW w:w="5245"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val="en-NZ" w:eastAsia="en-AU"/>
              </w:rPr>
              <w:t xml:space="preserve">Women’s share of managerial positions  </w:t>
            </w:r>
          </w:p>
        </w:tc>
        <w:tc>
          <w:tcPr>
            <w:tcW w:w="851" w:type="dxa"/>
            <w:shd w:val="clear" w:color="auto" w:fill="auto"/>
            <w:noWrap/>
            <w:hideMark/>
          </w:tcPr>
          <w:p w:rsidR="00375349" w:rsidRPr="00375349" w:rsidRDefault="00375349" w:rsidP="00683B46">
            <w:pPr>
              <w:spacing w:after="0" w:line="240" w:lineRule="auto"/>
              <w:jc w:val="center"/>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1</w:t>
            </w:r>
          </w:p>
        </w:tc>
        <w:tc>
          <w:tcPr>
            <w:tcW w:w="3827" w:type="dxa"/>
            <w:shd w:val="clear" w:color="auto" w:fill="auto"/>
            <w:noWrap/>
            <w:hideMark/>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p>
        </w:tc>
        <w:tc>
          <w:tcPr>
            <w:tcW w:w="4710" w:type="dxa"/>
          </w:tcPr>
          <w:p w:rsidR="00375349" w:rsidRPr="00375349" w:rsidRDefault="00375349" w:rsidP="00683B46">
            <w:pPr>
              <w:spacing w:after="0" w:line="240" w:lineRule="auto"/>
              <w:rPr>
                <w:rFonts w:ascii="Calibri Light" w:eastAsia="Times New Roman" w:hAnsi="Calibri Light" w:cs="Times New Roman"/>
                <w:color w:val="000000"/>
                <w:sz w:val="18"/>
                <w:szCs w:val="18"/>
                <w:lang w:eastAsia="en-AU"/>
              </w:rPr>
            </w:pPr>
            <w:r w:rsidRPr="00375349">
              <w:rPr>
                <w:rFonts w:ascii="Calibri Light" w:eastAsia="Times New Roman" w:hAnsi="Calibri Light" w:cs="Times New Roman"/>
                <w:color w:val="000000"/>
                <w:sz w:val="18"/>
                <w:szCs w:val="18"/>
                <w:lang w:eastAsia="en-AU"/>
              </w:rPr>
              <w:t xml:space="preserve">Public life and decision-making  </w:t>
            </w:r>
          </w:p>
        </w:tc>
      </w:tr>
    </w:tbl>
    <w:p w:rsidR="00C82F85" w:rsidRDefault="00375349" w:rsidP="00375349">
      <w:pPr>
        <w:spacing w:before="120"/>
        <w:rPr>
          <w:rFonts w:ascii="Calibri Light" w:eastAsia="Times New Roman" w:hAnsi="Calibri Light" w:cs="Times New Roman"/>
          <w:color w:val="000000"/>
          <w:sz w:val="20"/>
          <w:lang w:eastAsia="en-AU"/>
        </w:rPr>
      </w:pPr>
      <w:r>
        <w:rPr>
          <w:rFonts w:ascii="Calibri Light" w:hAnsi="Calibri Light" w:cs="Times New Roman"/>
          <w:b/>
          <w:sz w:val="20"/>
        </w:rPr>
        <w:t xml:space="preserve">* </w:t>
      </w:r>
      <w:r w:rsidRPr="00375349">
        <w:rPr>
          <w:rFonts w:ascii="Calibri Light" w:hAnsi="Calibri Light" w:cs="Times New Roman"/>
          <w:b/>
          <w:sz w:val="20"/>
        </w:rPr>
        <w:t xml:space="preserve">Census Rating: </w:t>
      </w:r>
      <w:r w:rsidRPr="00375349">
        <w:rPr>
          <w:rFonts w:ascii="Calibri Light" w:eastAsia="Times New Roman" w:hAnsi="Calibri Light" w:cs="Times New Roman"/>
          <w:color w:val="000000"/>
          <w:sz w:val="20"/>
          <w:lang w:eastAsia="en-AU"/>
        </w:rPr>
        <w:t>1 = best source</w:t>
      </w:r>
      <w:r>
        <w:rPr>
          <w:rFonts w:ascii="Calibri Light" w:eastAsia="Times New Roman" w:hAnsi="Calibri Light" w:cs="Times New Roman"/>
          <w:color w:val="000000"/>
          <w:sz w:val="20"/>
          <w:lang w:eastAsia="en-AU"/>
        </w:rPr>
        <w:t>;</w:t>
      </w:r>
      <w:r w:rsidRPr="00375349">
        <w:rPr>
          <w:rFonts w:ascii="Calibri Light" w:eastAsia="Times New Roman" w:hAnsi="Calibri Light" w:cs="Times New Roman"/>
          <w:color w:val="000000"/>
          <w:sz w:val="20"/>
          <w:lang w:eastAsia="en-AU"/>
        </w:rPr>
        <w:t xml:space="preserve"> 2 = some quality </w:t>
      </w:r>
      <w:r>
        <w:rPr>
          <w:rFonts w:ascii="Calibri Light" w:eastAsia="Times New Roman" w:hAnsi="Calibri Light" w:cs="Times New Roman"/>
          <w:color w:val="000000"/>
          <w:sz w:val="20"/>
          <w:lang w:eastAsia="en-AU"/>
        </w:rPr>
        <w:t>concerns;</w:t>
      </w:r>
      <w:r w:rsidRPr="00375349">
        <w:rPr>
          <w:rFonts w:ascii="Calibri Light" w:eastAsia="Times New Roman" w:hAnsi="Calibri Light" w:cs="Times New Roman"/>
          <w:color w:val="000000"/>
          <w:sz w:val="20"/>
          <w:lang w:eastAsia="en-AU"/>
        </w:rPr>
        <w:t xml:space="preserve"> 3 = extensive quality </w:t>
      </w:r>
      <w:r>
        <w:rPr>
          <w:rFonts w:ascii="Calibri Light" w:eastAsia="Times New Roman" w:hAnsi="Calibri Light" w:cs="Times New Roman"/>
          <w:color w:val="000000"/>
          <w:sz w:val="20"/>
          <w:lang w:eastAsia="en-AU"/>
        </w:rPr>
        <w:t>concerns</w:t>
      </w:r>
      <w:r w:rsidRPr="00375349">
        <w:rPr>
          <w:rFonts w:ascii="Calibri Light" w:eastAsia="Times New Roman" w:hAnsi="Calibri Light" w:cs="Times New Roman"/>
          <w:color w:val="000000"/>
          <w:sz w:val="20"/>
          <w:lang w:eastAsia="en-AU"/>
        </w:rPr>
        <w:t xml:space="preserve"> 9 = not a valid data source</w:t>
      </w:r>
    </w:p>
    <w:p w:rsidR="002D6AB2" w:rsidRDefault="002D6AB2" w:rsidP="00375349">
      <w:pPr>
        <w:spacing w:before="120"/>
        <w:rPr>
          <w:rFonts w:ascii="Calibri Light" w:eastAsia="Times New Roman" w:hAnsi="Calibri Light" w:cs="Times New Roman"/>
          <w:color w:val="000000"/>
          <w:sz w:val="20"/>
          <w:lang w:eastAsia="en-AU"/>
        </w:rPr>
        <w:sectPr w:rsidR="002D6AB2" w:rsidSect="00777D76">
          <w:pgSz w:w="16838" w:h="11906" w:orient="landscape"/>
          <w:pgMar w:top="993" w:right="1440" w:bottom="991" w:left="1440" w:header="708" w:footer="708" w:gutter="0"/>
          <w:cols w:space="708"/>
          <w:titlePg/>
          <w:docGrid w:linePitch="360"/>
        </w:sectPr>
      </w:pPr>
    </w:p>
    <w:p w:rsidR="002D6AB2" w:rsidRPr="00777D76" w:rsidRDefault="002D6AB2" w:rsidP="002D6AB2">
      <w:pPr>
        <w:pStyle w:val="NoSpacing"/>
        <w:spacing w:after="240"/>
        <w:rPr>
          <w:rFonts w:ascii="Times New Roman" w:hAnsi="Times New Roman" w:cs="Times New Roman"/>
          <w:b/>
        </w:rPr>
      </w:pPr>
      <w:r w:rsidRPr="00777D76">
        <w:rPr>
          <w:rFonts w:ascii="Times New Roman" w:hAnsi="Times New Roman" w:cs="Times New Roman"/>
          <w:b/>
        </w:rPr>
        <w:lastRenderedPageBreak/>
        <w:t xml:space="preserve">Annex </w:t>
      </w:r>
      <w:r>
        <w:rPr>
          <w:rFonts w:ascii="Times New Roman" w:hAnsi="Times New Roman" w:cs="Times New Roman"/>
          <w:b/>
        </w:rPr>
        <w:t>2</w:t>
      </w:r>
      <w:r w:rsidRPr="00777D76">
        <w:rPr>
          <w:rFonts w:ascii="Times New Roman" w:hAnsi="Times New Roman" w:cs="Times New Roman"/>
          <w:b/>
        </w:rPr>
        <w:t xml:space="preserve">: </w:t>
      </w:r>
      <w:r>
        <w:rPr>
          <w:rFonts w:ascii="Times New Roman" w:hAnsi="Times New Roman" w:cs="Times New Roman"/>
          <w:b/>
        </w:rPr>
        <w:t xml:space="preserve">Examples of questions </w:t>
      </w:r>
      <w:r w:rsidRPr="00777D76">
        <w:rPr>
          <w:rFonts w:ascii="Times New Roman" w:hAnsi="Times New Roman" w:cs="Times New Roman"/>
          <w:b/>
        </w:rPr>
        <w:t xml:space="preserve"> </w:t>
      </w:r>
    </w:p>
    <w:p w:rsidR="002D6AB2" w:rsidRDefault="002D6AB2" w:rsidP="002D6AB2">
      <w:pPr>
        <w:pStyle w:val="NoSpacing"/>
        <w:spacing w:after="240"/>
        <w:rPr>
          <w:rFonts w:ascii="Times New Roman" w:hAnsi="Times New Roman" w:cs="Times New Roman"/>
          <w:b/>
        </w:rPr>
      </w:pPr>
      <w:r>
        <w:rPr>
          <w:rFonts w:ascii="Times New Roman" w:hAnsi="Times New Roman" w:cs="Times New Roman"/>
          <w:b/>
        </w:rPr>
        <w:t xml:space="preserve">a) </w:t>
      </w:r>
      <w:r w:rsidRPr="002D6AB2">
        <w:rPr>
          <w:rFonts w:ascii="Times New Roman" w:hAnsi="Times New Roman" w:cs="Times New Roman"/>
          <w:b/>
        </w:rPr>
        <w:t xml:space="preserve">Households and families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A71342" w:rsidRPr="0086503D" w:rsidTr="00A71342">
        <w:tc>
          <w:tcPr>
            <w:tcW w:w="5069" w:type="dxa"/>
          </w:tcPr>
          <w:p w:rsidR="00A71342" w:rsidRPr="0086503D" w:rsidRDefault="00A71342" w:rsidP="00A71342">
            <w:pPr>
              <w:pStyle w:val="NoSpacing"/>
              <w:rPr>
                <w:rFonts w:ascii="Times New Roman" w:hAnsi="Times New Roman" w:cs="Times New Roman"/>
                <w:sz w:val="20"/>
              </w:rPr>
            </w:pPr>
            <w:r w:rsidRPr="0086503D">
              <w:rPr>
                <w:rFonts w:ascii="Times New Roman" w:hAnsi="Times New Roman" w:cs="Times New Roman"/>
                <w:sz w:val="20"/>
              </w:rPr>
              <w:t xml:space="preserve">New Zealand, Census 2013 Dwelling Questionnaire </w:t>
            </w:r>
          </w:p>
        </w:tc>
        <w:tc>
          <w:tcPr>
            <w:tcW w:w="5069" w:type="dxa"/>
            <w:vAlign w:val="bottom"/>
          </w:tcPr>
          <w:p w:rsidR="00A71342" w:rsidRPr="0086503D" w:rsidRDefault="00A71342" w:rsidP="00A71342">
            <w:pPr>
              <w:pStyle w:val="NoSpacing"/>
              <w:rPr>
                <w:rFonts w:ascii="Times New Roman" w:hAnsi="Times New Roman" w:cs="Times New Roman"/>
                <w:sz w:val="20"/>
              </w:rPr>
            </w:pPr>
            <w:r w:rsidRPr="0086503D">
              <w:rPr>
                <w:rFonts w:ascii="Times New Roman" w:hAnsi="Times New Roman" w:cs="Times New Roman"/>
                <w:sz w:val="20"/>
              </w:rPr>
              <w:t>New Zealand, Census 2013 Personal Questionnaire</w:t>
            </w:r>
          </w:p>
        </w:tc>
      </w:tr>
      <w:tr w:rsidR="00A71342" w:rsidRPr="00A71342" w:rsidTr="00A71342">
        <w:trPr>
          <w:trHeight w:val="3165"/>
        </w:trPr>
        <w:tc>
          <w:tcPr>
            <w:tcW w:w="5069" w:type="dxa"/>
          </w:tcPr>
          <w:p w:rsidR="00A71342" w:rsidRPr="00A71342" w:rsidRDefault="00A71342" w:rsidP="00A71342">
            <w:pPr>
              <w:pStyle w:val="NoSpacing"/>
              <w:spacing w:after="240"/>
              <w:jc w:val="center"/>
              <w:rPr>
                <w:rFonts w:ascii="Times New Roman" w:hAnsi="Times New Roman" w:cs="Times New Roman"/>
              </w:rPr>
            </w:pPr>
            <w:r w:rsidRPr="00A71342">
              <w:rPr>
                <w:noProof/>
                <w:lang w:eastAsia="en-AU"/>
              </w:rPr>
              <w:drawing>
                <wp:inline distT="0" distB="0" distL="0" distR="0" wp14:anchorId="3378BECA" wp14:editId="3A3C2CB7">
                  <wp:extent cx="1166400" cy="1944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66400" cy="1944000"/>
                          </a:xfrm>
                          <a:prstGeom prst="rect">
                            <a:avLst/>
                          </a:prstGeom>
                        </pic:spPr>
                      </pic:pic>
                    </a:graphicData>
                  </a:graphic>
                </wp:inline>
              </w:drawing>
            </w:r>
          </w:p>
        </w:tc>
        <w:tc>
          <w:tcPr>
            <w:tcW w:w="5069" w:type="dxa"/>
          </w:tcPr>
          <w:p w:rsidR="00A71342" w:rsidRPr="00A71342" w:rsidRDefault="00A71342" w:rsidP="00A71342">
            <w:pPr>
              <w:pStyle w:val="NoSpacing"/>
              <w:spacing w:after="240"/>
              <w:jc w:val="center"/>
              <w:rPr>
                <w:rFonts w:ascii="Times New Roman" w:hAnsi="Times New Roman" w:cs="Times New Roman"/>
              </w:rPr>
            </w:pPr>
            <w:r w:rsidRPr="00A71342">
              <w:rPr>
                <w:noProof/>
                <w:lang w:eastAsia="en-AU"/>
              </w:rPr>
              <w:drawing>
                <wp:inline distT="0" distB="0" distL="0" distR="0" wp14:anchorId="318C4073" wp14:editId="6C9138B1">
                  <wp:extent cx="2952000" cy="25776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52000" cy="2577600"/>
                          </a:xfrm>
                          <a:prstGeom prst="rect">
                            <a:avLst/>
                          </a:prstGeom>
                        </pic:spPr>
                      </pic:pic>
                    </a:graphicData>
                  </a:graphic>
                </wp:inline>
              </w:drawing>
            </w:r>
          </w:p>
        </w:tc>
      </w:tr>
      <w:tr w:rsidR="00A71342" w:rsidRPr="0086503D" w:rsidTr="00A71342">
        <w:tc>
          <w:tcPr>
            <w:tcW w:w="5069" w:type="dxa"/>
          </w:tcPr>
          <w:p w:rsidR="00A71342" w:rsidRPr="0086503D" w:rsidRDefault="00A71342" w:rsidP="00375286">
            <w:pPr>
              <w:pStyle w:val="NoSpacing"/>
              <w:spacing w:after="240"/>
              <w:jc w:val="center"/>
              <w:rPr>
                <w:rFonts w:ascii="Times New Roman" w:hAnsi="Times New Roman" w:cs="Times New Roman"/>
                <w:i/>
                <w:sz w:val="20"/>
              </w:rPr>
            </w:pPr>
            <w:r w:rsidRPr="0086503D">
              <w:rPr>
                <w:rFonts w:ascii="Times New Roman" w:hAnsi="Times New Roman" w:cs="Times New Roman"/>
                <w:i/>
                <w:sz w:val="20"/>
              </w:rPr>
              <w:t>All census night residents and usual residents absent on census night</w:t>
            </w:r>
          </w:p>
        </w:tc>
        <w:tc>
          <w:tcPr>
            <w:tcW w:w="5069" w:type="dxa"/>
          </w:tcPr>
          <w:p w:rsidR="00A71342" w:rsidRPr="0086503D" w:rsidRDefault="00A71342" w:rsidP="00375286">
            <w:pPr>
              <w:pStyle w:val="NoSpacing"/>
              <w:spacing w:after="240"/>
              <w:jc w:val="center"/>
              <w:rPr>
                <w:rFonts w:ascii="Times New Roman" w:hAnsi="Times New Roman" w:cs="Times New Roman"/>
                <w:i/>
                <w:sz w:val="20"/>
              </w:rPr>
            </w:pPr>
            <w:r w:rsidRPr="0086503D">
              <w:rPr>
                <w:rFonts w:ascii="Times New Roman" w:hAnsi="Times New Roman" w:cs="Times New Roman"/>
                <w:i/>
                <w:sz w:val="20"/>
              </w:rPr>
              <w:t>Usual residents</w:t>
            </w:r>
          </w:p>
        </w:tc>
      </w:tr>
      <w:tr w:rsidR="0086503D" w:rsidRPr="0086503D" w:rsidTr="00E21B44">
        <w:tc>
          <w:tcPr>
            <w:tcW w:w="10138" w:type="dxa"/>
            <w:gridSpan w:val="2"/>
          </w:tcPr>
          <w:p w:rsidR="0086503D" w:rsidRPr="0086503D" w:rsidRDefault="0086503D" w:rsidP="0086503D">
            <w:pPr>
              <w:pStyle w:val="NoSpacing"/>
              <w:rPr>
                <w:rFonts w:ascii="Times New Roman" w:hAnsi="Times New Roman" w:cs="Times New Roman"/>
                <w:sz w:val="20"/>
              </w:rPr>
            </w:pPr>
            <w:r w:rsidRPr="0086503D">
              <w:rPr>
                <w:rFonts w:ascii="Times New Roman" w:hAnsi="Times New Roman" w:cs="Times New Roman"/>
                <w:sz w:val="20"/>
              </w:rPr>
              <w:t>Commonwealth of the Northern Mariana Islands</w:t>
            </w:r>
            <w:r w:rsidR="00375286">
              <w:rPr>
                <w:rFonts w:ascii="Times New Roman" w:hAnsi="Times New Roman" w:cs="Times New Roman"/>
                <w:sz w:val="20"/>
              </w:rPr>
              <w:t>,</w:t>
            </w:r>
            <w:r w:rsidRPr="0086503D">
              <w:rPr>
                <w:rFonts w:ascii="Times New Roman" w:hAnsi="Times New Roman" w:cs="Times New Roman"/>
                <w:sz w:val="20"/>
              </w:rPr>
              <w:t xml:space="preserve"> </w:t>
            </w:r>
            <w:r w:rsidR="00375286">
              <w:rPr>
                <w:rFonts w:ascii="Times New Roman" w:hAnsi="Times New Roman" w:cs="Times New Roman"/>
                <w:sz w:val="20"/>
              </w:rPr>
              <w:t xml:space="preserve">Census </w:t>
            </w:r>
            <w:r w:rsidRPr="0086503D">
              <w:rPr>
                <w:rFonts w:ascii="Times New Roman" w:hAnsi="Times New Roman" w:cs="Times New Roman"/>
                <w:sz w:val="20"/>
              </w:rPr>
              <w:t>2010 Household Questionnaire</w:t>
            </w:r>
          </w:p>
        </w:tc>
      </w:tr>
      <w:tr w:rsidR="00A71342" w:rsidRPr="00A71342" w:rsidTr="00A71342">
        <w:tc>
          <w:tcPr>
            <w:tcW w:w="5069" w:type="dxa"/>
          </w:tcPr>
          <w:p w:rsidR="00A71342" w:rsidRDefault="00A71342" w:rsidP="00A71342">
            <w:pPr>
              <w:pStyle w:val="NoSpacing"/>
              <w:spacing w:after="240"/>
              <w:jc w:val="center"/>
              <w:rPr>
                <w:rFonts w:ascii="Times New Roman" w:hAnsi="Times New Roman" w:cs="Times New Roman"/>
              </w:rPr>
            </w:pPr>
            <w:r>
              <w:rPr>
                <w:noProof/>
                <w:lang w:eastAsia="en-AU"/>
              </w:rPr>
              <w:drawing>
                <wp:inline distT="0" distB="0" distL="0" distR="0" wp14:anchorId="10A90A43" wp14:editId="3FFB5E65">
                  <wp:extent cx="2743200" cy="1371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43200" cy="1371600"/>
                          </a:xfrm>
                          <a:prstGeom prst="rect">
                            <a:avLst/>
                          </a:prstGeom>
                        </pic:spPr>
                      </pic:pic>
                    </a:graphicData>
                  </a:graphic>
                </wp:inline>
              </w:drawing>
            </w:r>
          </w:p>
        </w:tc>
        <w:tc>
          <w:tcPr>
            <w:tcW w:w="5069" w:type="dxa"/>
          </w:tcPr>
          <w:p w:rsidR="00A71342" w:rsidRDefault="00A71342" w:rsidP="00C24BA1">
            <w:pPr>
              <w:pStyle w:val="NoSpacing"/>
              <w:spacing w:after="240"/>
              <w:rPr>
                <w:rFonts w:ascii="Times New Roman" w:hAnsi="Times New Roman" w:cs="Times New Roman"/>
              </w:rPr>
            </w:pPr>
          </w:p>
        </w:tc>
      </w:tr>
    </w:tbl>
    <w:p w:rsidR="004221AE" w:rsidRPr="00375286" w:rsidRDefault="004221AE" w:rsidP="00375286">
      <w:pPr>
        <w:pStyle w:val="NoSpacing"/>
      </w:pPr>
    </w:p>
    <w:p w:rsidR="002D6AB2" w:rsidRPr="002D6AB2" w:rsidRDefault="002D6AB2" w:rsidP="002D6AB2">
      <w:pPr>
        <w:pStyle w:val="NoSpacing"/>
        <w:spacing w:after="240"/>
        <w:rPr>
          <w:rFonts w:ascii="Times New Roman" w:hAnsi="Times New Roman" w:cs="Times New Roman"/>
          <w:b/>
        </w:rPr>
      </w:pPr>
      <w:r>
        <w:rPr>
          <w:rFonts w:ascii="Times New Roman" w:hAnsi="Times New Roman" w:cs="Times New Roman"/>
          <w:b/>
        </w:rPr>
        <w:t xml:space="preserve">b) </w:t>
      </w:r>
      <w:r w:rsidRPr="002D6AB2">
        <w:rPr>
          <w:rFonts w:ascii="Times New Roman" w:hAnsi="Times New Roman" w:cs="Times New Roman"/>
          <w:b/>
        </w:rPr>
        <w:t xml:space="preserve">Work, economic activities and employment benefits </w:t>
      </w:r>
    </w:p>
    <w:p w:rsidR="00203324" w:rsidRPr="0086503D" w:rsidRDefault="00203324" w:rsidP="00203324">
      <w:pPr>
        <w:pStyle w:val="NoSpacing"/>
        <w:spacing w:after="240"/>
        <w:rPr>
          <w:rFonts w:ascii="Times New Roman" w:hAnsi="Times New Roman" w:cs="Times New Roman"/>
          <w:sz w:val="20"/>
        </w:rPr>
      </w:pPr>
      <w:r w:rsidRPr="0086503D">
        <w:rPr>
          <w:rFonts w:ascii="Times New Roman" w:hAnsi="Times New Roman" w:cs="Times New Roman"/>
          <w:sz w:val="20"/>
        </w:rPr>
        <w:t>Cook Islands, Census 2011 Personal Questionnaire</w:t>
      </w:r>
    </w:p>
    <w:p w:rsidR="002D6AB2" w:rsidRPr="002D6AB2" w:rsidRDefault="00203324" w:rsidP="002D6AB2">
      <w:pPr>
        <w:pStyle w:val="NoSpacing"/>
        <w:spacing w:after="240"/>
        <w:rPr>
          <w:rFonts w:ascii="Times New Roman" w:hAnsi="Times New Roman" w:cs="Times New Roman"/>
        </w:rPr>
      </w:pPr>
      <w:r w:rsidRPr="006311E2">
        <w:rPr>
          <w:noProof/>
          <w:lang w:eastAsia="en-AU"/>
        </w:rPr>
        <w:drawing>
          <wp:inline distT="0" distB="0" distL="0" distR="0" wp14:anchorId="44E60434" wp14:editId="473C16B5">
            <wp:extent cx="1493520" cy="19507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493520" cy="1950720"/>
                    </a:xfrm>
                    <a:prstGeom prst="rect">
                      <a:avLst/>
                    </a:prstGeom>
                  </pic:spPr>
                </pic:pic>
              </a:graphicData>
            </a:graphic>
          </wp:inline>
        </w:drawing>
      </w:r>
      <w:r>
        <w:rPr>
          <w:rFonts w:ascii="Times New Roman" w:hAnsi="Times New Roman" w:cs="Times New Roman"/>
        </w:rPr>
        <w:br/>
      </w:r>
      <w:r w:rsidRPr="006311E2">
        <w:rPr>
          <w:rFonts w:ascii="Times New Roman" w:hAnsi="Times New Roman" w:cs="Times New Roman"/>
          <w:i/>
          <w:sz w:val="20"/>
        </w:rPr>
        <w:t>Usual residents aged 15 years and over</w:t>
      </w:r>
    </w:p>
    <w:p w:rsidR="00375286" w:rsidRDefault="00375286">
      <w:pPr>
        <w:rPr>
          <w:rFonts w:ascii="Times New Roman" w:hAnsi="Times New Roman" w:cs="Times New Roman"/>
          <w:b/>
        </w:rPr>
      </w:pPr>
      <w:r>
        <w:rPr>
          <w:rFonts w:ascii="Times New Roman" w:hAnsi="Times New Roman" w:cs="Times New Roman"/>
          <w:b/>
        </w:rPr>
        <w:br w:type="page"/>
      </w:r>
    </w:p>
    <w:p w:rsidR="002D6AB2" w:rsidRPr="002D6AB2" w:rsidRDefault="002D6AB2" w:rsidP="002D6AB2">
      <w:pPr>
        <w:pStyle w:val="NoSpacing"/>
        <w:spacing w:after="240"/>
        <w:rPr>
          <w:rFonts w:ascii="Times New Roman" w:hAnsi="Times New Roman" w:cs="Times New Roman"/>
          <w:b/>
        </w:rPr>
      </w:pPr>
      <w:r>
        <w:rPr>
          <w:rFonts w:ascii="Times New Roman" w:hAnsi="Times New Roman" w:cs="Times New Roman"/>
          <w:b/>
        </w:rPr>
        <w:lastRenderedPageBreak/>
        <w:t xml:space="preserve">c) </w:t>
      </w:r>
      <w:r w:rsidRPr="002D6AB2">
        <w:rPr>
          <w:rFonts w:ascii="Times New Roman" w:hAnsi="Times New Roman" w:cs="Times New Roman"/>
          <w:b/>
        </w:rPr>
        <w:t xml:space="preserve">Culture </w:t>
      </w:r>
    </w:p>
    <w:p w:rsidR="002D6AB2" w:rsidRPr="00375286" w:rsidRDefault="006311E2" w:rsidP="002D6AB2">
      <w:pPr>
        <w:pStyle w:val="NoSpacing"/>
        <w:spacing w:after="240"/>
        <w:rPr>
          <w:rFonts w:ascii="Times New Roman" w:hAnsi="Times New Roman" w:cs="Times New Roman"/>
          <w:sz w:val="20"/>
        </w:rPr>
      </w:pPr>
      <w:r w:rsidRPr="00375286">
        <w:rPr>
          <w:rFonts w:ascii="Times New Roman" w:hAnsi="Times New Roman" w:cs="Times New Roman"/>
          <w:sz w:val="20"/>
        </w:rPr>
        <w:t>Cook Islands, Census 2011 Dwelling Questionnaire</w:t>
      </w:r>
    </w:p>
    <w:p w:rsidR="006311E2" w:rsidRDefault="006311E2" w:rsidP="006311E2">
      <w:pPr>
        <w:pStyle w:val="NoSpacing"/>
        <w:tabs>
          <w:tab w:val="left" w:pos="4678"/>
        </w:tabs>
        <w:spacing w:after="240"/>
        <w:rPr>
          <w:noProof/>
          <w:lang w:eastAsia="en-AU"/>
        </w:rPr>
      </w:pPr>
      <w:r w:rsidRPr="006311E2">
        <w:rPr>
          <w:noProof/>
          <w:lang w:eastAsia="en-AU"/>
        </w:rPr>
        <w:t xml:space="preserve"> </w:t>
      </w:r>
      <w:r>
        <w:rPr>
          <w:noProof/>
          <w:lang w:eastAsia="en-AU"/>
        </w:rPr>
        <w:drawing>
          <wp:inline distT="0" distB="0" distL="0" distR="0" wp14:anchorId="29F18547" wp14:editId="3192CA23">
            <wp:extent cx="145542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455420" cy="1447800"/>
                    </a:xfrm>
                    <a:prstGeom prst="rect">
                      <a:avLst/>
                    </a:prstGeom>
                  </pic:spPr>
                </pic:pic>
              </a:graphicData>
            </a:graphic>
          </wp:inline>
        </w:drawing>
      </w:r>
      <w:r>
        <w:rPr>
          <w:noProof/>
          <w:lang w:eastAsia="en-AU"/>
        </w:rPr>
        <w:tab/>
        <w:t xml:space="preserve"> </w:t>
      </w:r>
      <w:r>
        <w:rPr>
          <w:noProof/>
          <w:lang w:eastAsia="en-AU"/>
        </w:rPr>
        <w:drawing>
          <wp:inline distT="0" distB="0" distL="0" distR="0" wp14:anchorId="71DFB4D0" wp14:editId="2E288A99">
            <wp:extent cx="1470660" cy="1790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470660" cy="1790700"/>
                    </a:xfrm>
                    <a:prstGeom prst="rect">
                      <a:avLst/>
                    </a:prstGeom>
                  </pic:spPr>
                </pic:pic>
              </a:graphicData>
            </a:graphic>
          </wp:inline>
        </w:drawing>
      </w:r>
    </w:p>
    <w:p w:rsidR="006311E2" w:rsidRPr="00375286" w:rsidRDefault="006311E2" w:rsidP="006311E2">
      <w:pPr>
        <w:pStyle w:val="NoSpacing"/>
        <w:spacing w:after="240"/>
        <w:rPr>
          <w:rFonts w:ascii="Times New Roman" w:hAnsi="Times New Roman" w:cs="Times New Roman"/>
          <w:sz w:val="20"/>
        </w:rPr>
      </w:pPr>
      <w:r w:rsidRPr="00375286">
        <w:rPr>
          <w:rFonts w:ascii="Times New Roman" w:hAnsi="Times New Roman" w:cs="Times New Roman"/>
          <w:sz w:val="20"/>
        </w:rPr>
        <w:t>Cook Islands, Census 2011 Personal Questionnaire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5"/>
        <w:gridCol w:w="7193"/>
      </w:tblGrid>
      <w:tr w:rsidR="006311E2" w:rsidRPr="006311E2" w:rsidTr="006311E2">
        <w:tc>
          <w:tcPr>
            <w:tcW w:w="2945" w:type="dxa"/>
            <w:vAlign w:val="bottom"/>
          </w:tcPr>
          <w:p w:rsidR="006311E2" w:rsidRPr="006311E2" w:rsidRDefault="006311E2" w:rsidP="006311E2">
            <w:pPr>
              <w:pStyle w:val="NoSpacing"/>
              <w:rPr>
                <w:rFonts w:ascii="Times New Roman" w:hAnsi="Times New Roman" w:cs="Times New Roman"/>
              </w:rPr>
            </w:pPr>
            <w:r w:rsidRPr="006311E2">
              <w:rPr>
                <w:noProof/>
                <w:lang w:eastAsia="en-AU"/>
              </w:rPr>
              <w:drawing>
                <wp:inline distT="0" distB="0" distL="0" distR="0" wp14:anchorId="6E34A438" wp14:editId="748CD94C">
                  <wp:extent cx="1470660" cy="1478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470660" cy="1478280"/>
                          </a:xfrm>
                          <a:prstGeom prst="rect">
                            <a:avLst/>
                          </a:prstGeom>
                        </pic:spPr>
                      </pic:pic>
                    </a:graphicData>
                  </a:graphic>
                </wp:inline>
              </w:drawing>
            </w:r>
          </w:p>
        </w:tc>
        <w:tc>
          <w:tcPr>
            <w:tcW w:w="7193" w:type="dxa"/>
          </w:tcPr>
          <w:p w:rsidR="006311E2" w:rsidRPr="006311E2" w:rsidRDefault="006311E2" w:rsidP="006311E2">
            <w:pPr>
              <w:pStyle w:val="NoSpacing"/>
              <w:rPr>
                <w:rFonts w:ascii="Times New Roman" w:hAnsi="Times New Roman" w:cs="Times New Roman"/>
              </w:rPr>
            </w:pPr>
            <w:r w:rsidRPr="006311E2">
              <w:rPr>
                <w:noProof/>
                <w:lang w:eastAsia="en-AU"/>
              </w:rPr>
              <w:drawing>
                <wp:inline distT="0" distB="0" distL="0" distR="0" wp14:anchorId="45846543" wp14:editId="032D8A65">
                  <wp:extent cx="1493520" cy="1950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493520" cy="1950720"/>
                          </a:xfrm>
                          <a:prstGeom prst="rect">
                            <a:avLst/>
                          </a:prstGeom>
                        </pic:spPr>
                      </pic:pic>
                    </a:graphicData>
                  </a:graphic>
                </wp:inline>
              </w:drawing>
            </w:r>
            <w:r w:rsidRPr="006311E2">
              <w:rPr>
                <w:rFonts w:ascii="Times New Roman" w:hAnsi="Times New Roman" w:cs="Times New Roman"/>
              </w:rPr>
              <w:t xml:space="preserve"> </w:t>
            </w:r>
            <w:r w:rsidRPr="006311E2">
              <w:rPr>
                <w:noProof/>
                <w:lang w:eastAsia="en-AU"/>
              </w:rPr>
              <w:drawing>
                <wp:inline distT="0" distB="0" distL="0" distR="0" wp14:anchorId="0522EA02" wp14:editId="277813BD">
                  <wp:extent cx="1493520" cy="190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493520" cy="1905000"/>
                          </a:xfrm>
                          <a:prstGeom prst="rect">
                            <a:avLst/>
                          </a:prstGeom>
                        </pic:spPr>
                      </pic:pic>
                    </a:graphicData>
                  </a:graphic>
                </wp:inline>
              </w:drawing>
            </w:r>
          </w:p>
        </w:tc>
      </w:tr>
      <w:tr w:rsidR="006311E2" w:rsidRPr="00375286" w:rsidTr="006311E2">
        <w:tc>
          <w:tcPr>
            <w:tcW w:w="2945" w:type="dxa"/>
          </w:tcPr>
          <w:p w:rsidR="006311E2" w:rsidRPr="00375286" w:rsidRDefault="006311E2" w:rsidP="00C24BA1">
            <w:pPr>
              <w:pStyle w:val="NoSpacing"/>
              <w:spacing w:after="240"/>
              <w:rPr>
                <w:rFonts w:ascii="Times New Roman" w:hAnsi="Times New Roman" w:cs="Times New Roman"/>
                <w:i/>
                <w:sz w:val="20"/>
              </w:rPr>
            </w:pPr>
            <w:r w:rsidRPr="00375286">
              <w:rPr>
                <w:rFonts w:ascii="Times New Roman" w:hAnsi="Times New Roman" w:cs="Times New Roman"/>
                <w:i/>
                <w:sz w:val="20"/>
              </w:rPr>
              <w:t>All usual residents</w:t>
            </w:r>
          </w:p>
        </w:tc>
        <w:tc>
          <w:tcPr>
            <w:tcW w:w="7193" w:type="dxa"/>
          </w:tcPr>
          <w:p w:rsidR="006311E2" w:rsidRPr="00375286" w:rsidRDefault="006311E2" w:rsidP="00C24BA1">
            <w:pPr>
              <w:pStyle w:val="NoSpacing"/>
              <w:spacing w:after="240"/>
              <w:rPr>
                <w:rFonts w:ascii="Times New Roman" w:hAnsi="Times New Roman" w:cs="Times New Roman"/>
                <w:i/>
                <w:sz w:val="20"/>
              </w:rPr>
            </w:pPr>
            <w:r w:rsidRPr="00375286">
              <w:rPr>
                <w:rFonts w:ascii="Times New Roman" w:hAnsi="Times New Roman" w:cs="Times New Roman"/>
                <w:i/>
                <w:sz w:val="20"/>
              </w:rPr>
              <w:t xml:space="preserve">Usual residents aged 15 years and over </w:t>
            </w:r>
          </w:p>
        </w:tc>
      </w:tr>
    </w:tbl>
    <w:p w:rsidR="006311E2" w:rsidRDefault="006311E2" w:rsidP="006311E2">
      <w:pPr>
        <w:pStyle w:val="NoSpacing"/>
        <w:tabs>
          <w:tab w:val="left" w:pos="4678"/>
        </w:tabs>
        <w:spacing w:after="240"/>
        <w:rPr>
          <w:rFonts w:ascii="Times New Roman" w:hAnsi="Times New Roman" w:cs="Times New Roman"/>
        </w:rPr>
      </w:pPr>
    </w:p>
    <w:p w:rsidR="00203324" w:rsidRPr="00375286" w:rsidRDefault="00203324" w:rsidP="006311E2">
      <w:pPr>
        <w:pStyle w:val="NoSpacing"/>
        <w:tabs>
          <w:tab w:val="left" w:pos="4678"/>
        </w:tabs>
        <w:spacing w:after="240"/>
        <w:rPr>
          <w:rFonts w:ascii="Times New Roman" w:hAnsi="Times New Roman" w:cs="Times New Roman"/>
          <w:b/>
        </w:rPr>
      </w:pPr>
      <w:r w:rsidRPr="00375286">
        <w:rPr>
          <w:rFonts w:ascii="Times New Roman" w:hAnsi="Times New Roman" w:cs="Times New Roman"/>
          <w:b/>
        </w:rPr>
        <w:t xml:space="preserve">References </w:t>
      </w:r>
    </w:p>
    <w:p w:rsidR="00203324" w:rsidRPr="002D6AB2" w:rsidRDefault="00203324" w:rsidP="006311E2">
      <w:pPr>
        <w:pStyle w:val="NoSpacing"/>
        <w:tabs>
          <w:tab w:val="left" w:pos="4678"/>
        </w:tabs>
        <w:spacing w:after="240"/>
        <w:rPr>
          <w:rFonts w:ascii="Times New Roman" w:hAnsi="Times New Roman" w:cs="Times New Roman"/>
        </w:rPr>
      </w:pPr>
      <w:proofErr w:type="gramStart"/>
      <w:r w:rsidRPr="00203324">
        <w:rPr>
          <w:rFonts w:ascii="Times New Roman" w:hAnsi="Times New Roman" w:cs="Times New Roman"/>
        </w:rPr>
        <w:t>UNESCO (2001).</w:t>
      </w:r>
      <w:proofErr w:type="gramEnd"/>
      <w:r w:rsidRPr="00203324">
        <w:rPr>
          <w:rFonts w:ascii="Times New Roman" w:hAnsi="Times New Roman" w:cs="Times New Roman"/>
        </w:rPr>
        <w:t xml:space="preserve"> </w:t>
      </w:r>
      <w:proofErr w:type="gramStart"/>
      <w:r w:rsidRPr="00203324">
        <w:rPr>
          <w:rFonts w:ascii="Times New Roman" w:hAnsi="Times New Roman" w:cs="Times New Roman"/>
        </w:rPr>
        <w:t>UNESCO Universal Declaration on Cultural Diversity.</w:t>
      </w:r>
      <w:proofErr w:type="gramEnd"/>
      <w:r w:rsidRPr="00203324">
        <w:rPr>
          <w:rFonts w:ascii="Times New Roman" w:hAnsi="Times New Roman" w:cs="Times New Roman"/>
        </w:rPr>
        <w:t xml:space="preserve"> Paris: UNESCO.</w:t>
      </w:r>
    </w:p>
    <w:sectPr w:rsidR="00203324" w:rsidRPr="002D6AB2" w:rsidSect="002D6AB2">
      <w:pgSz w:w="11906" w:h="16838"/>
      <w:pgMar w:top="1440" w:right="991" w:bottom="1440"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BA1" w:rsidRDefault="00C24BA1" w:rsidP="00C449D2">
      <w:pPr>
        <w:spacing w:after="0" w:line="240" w:lineRule="auto"/>
      </w:pPr>
      <w:r>
        <w:separator/>
      </w:r>
    </w:p>
  </w:endnote>
  <w:endnote w:type="continuationSeparator" w:id="0">
    <w:p w:rsidR="00C24BA1" w:rsidRDefault="00C24BA1" w:rsidP="00C4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CaslonPro-Regular">
    <w:altName w:val="Times New Roman"/>
    <w:panose1 w:val="00000000000000000000"/>
    <w:charset w:val="A1"/>
    <w:family w:val="roman"/>
    <w:notTrueType/>
    <w:pitch w:val="default"/>
    <w:sig w:usb0="00000081" w:usb1="00000000" w:usb2="00000000" w:usb3="00000000" w:csb0="00000008"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BA1" w:rsidRDefault="00C24BA1" w:rsidP="00C449D2">
      <w:pPr>
        <w:spacing w:after="0" w:line="240" w:lineRule="auto"/>
      </w:pPr>
      <w:r>
        <w:separator/>
      </w:r>
    </w:p>
  </w:footnote>
  <w:footnote w:type="continuationSeparator" w:id="0">
    <w:p w:rsidR="00C24BA1" w:rsidRDefault="00C24BA1" w:rsidP="00C449D2">
      <w:pPr>
        <w:spacing w:after="0" w:line="240" w:lineRule="auto"/>
      </w:pPr>
      <w:r>
        <w:continuationSeparator/>
      </w:r>
    </w:p>
  </w:footnote>
  <w:footnote w:id="1">
    <w:p w:rsidR="00DC2909" w:rsidRPr="00DC2909" w:rsidRDefault="00DC2909" w:rsidP="00DC2909">
      <w:pPr>
        <w:pStyle w:val="FootnoteText"/>
        <w:rPr>
          <w:rFonts w:ascii="Times New Roman" w:hAnsi="Times New Roman" w:cs="Times New Roman"/>
          <w:i/>
          <w:sz w:val="18"/>
        </w:rPr>
      </w:pPr>
      <w:r w:rsidRPr="00DC2909">
        <w:rPr>
          <w:rStyle w:val="FootnoteReference"/>
          <w:rFonts w:ascii="Times New Roman" w:hAnsi="Times New Roman" w:cs="Times New Roman"/>
          <w:i/>
          <w:sz w:val="18"/>
        </w:rPr>
        <w:footnoteRef/>
      </w:r>
      <w:r w:rsidRPr="00DC2909">
        <w:rPr>
          <w:rFonts w:ascii="Times New Roman" w:hAnsi="Times New Roman" w:cs="Times New Roman"/>
          <w:i/>
          <w:sz w:val="18"/>
        </w:rPr>
        <w:t xml:space="preserve"> </w:t>
      </w:r>
      <w:proofErr w:type="gramStart"/>
      <w:r w:rsidRPr="00DC2909">
        <w:rPr>
          <w:rFonts w:ascii="Times New Roman" w:hAnsi="Times New Roman" w:cs="Times New Roman"/>
          <w:i/>
          <w:sz w:val="18"/>
        </w:rPr>
        <w:t>Methodological Guidelines for the Gender Analysis of National Population and Housing Census Data, 2014, Technical Division of the United Nations Population Fund (</w:t>
      </w:r>
      <w:proofErr w:type="spellStart"/>
      <w:r w:rsidRPr="00DC2909">
        <w:rPr>
          <w:rFonts w:ascii="Times New Roman" w:hAnsi="Times New Roman" w:cs="Times New Roman"/>
          <w:i/>
          <w:sz w:val="18"/>
        </w:rPr>
        <w:t>UNFPA</w:t>
      </w:r>
      <w:proofErr w:type="spellEnd"/>
      <w:r w:rsidRPr="00DC2909">
        <w:rPr>
          <w:rFonts w:ascii="Times New Roman" w:hAnsi="Times New Roman" w:cs="Times New Roman"/>
          <w:i/>
          <w:sz w:val="18"/>
        </w:rPr>
        <w:t>), Population and Development Branch, Gender, Human Rights and Culture Branch.</w:t>
      </w:r>
      <w:proofErr w:type="gramEnd"/>
      <w:r w:rsidRPr="00DC2909">
        <w:rPr>
          <w:rFonts w:ascii="Times New Roman" w:hAnsi="Times New Roman" w:cs="Times New Roman"/>
          <w:i/>
          <w:sz w:val="18"/>
        </w:rPr>
        <w:t xml:space="preserve"> </w:t>
      </w:r>
      <w:hyperlink r:id="rId1" w:history="1">
        <w:r w:rsidRPr="00DC2909">
          <w:rPr>
            <w:rStyle w:val="Hyperlink"/>
            <w:rFonts w:ascii="Times New Roman" w:hAnsi="Times New Roman" w:cs="Times New Roman"/>
            <w:i/>
            <w:sz w:val="18"/>
          </w:rPr>
          <w:t>http://www.unfpa.org/publications/methodological-guidelines-gender-analysis-national-population-and-housing-census-data</w:t>
        </w:r>
      </w:hyperlink>
      <w:r w:rsidRPr="00DC2909">
        <w:rPr>
          <w:rFonts w:ascii="Times New Roman" w:hAnsi="Times New Roman" w:cs="Times New Roman"/>
          <w:i/>
          <w:sz w:val="18"/>
        </w:rPr>
        <w:t xml:space="preserve"> </w:t>
      </w:r>
    </w:p>
  </w:footnote>
  <w:footnote w:id="2">
    <w:p w:rsidR="00203324" w:rsidRPr="00203324" w:rsidRDefault="00203324">
      <w:pPr>
        <w:pStyle w:val="FootnoteText"/>
        <w:rPr>
          <w:rFonts w:ascii="Times New Roman" w:hAnsi="Times New Roman" w:cs="Times New Roman"/>
          <w:i/>
          <w:sz w:val="18"/>
        </w:rPr>
      </w:pPr>
      <w:r w:rsidRPr="00203324">
        <w:rPr>
          <w:rStyle w:val="FootnoteReference"/>
          <w:rFonts w:ascii="Times New Roman" w:hAnsi="Times New Roman" w:cs="Times New Roman"/>
          <w:i/>
          <w:sz w:val="18"/>
        </w:rPr>
        <w:footnoteRef/>
      </w:r>
      <w:r w:rsidRPr="00203324">
        <w:rPr>
          <w:rFonts w:ascii="Times New Roman" w:hAnsi="Times New Roman" w:cs="Times New Roman"/>
          <w:i/>
          <w:sz w:val="18"/>
        </w:rPr>
        <w:t xml:space="preserve"> </w:t>
      </w:r>
      <w:proofErr w:type="gramStart"/>
      <w:r w:rsidRPr="00203324">
        <w:rPr>
          <w:rFonts w:ascii="Times New Roman" w:hAnsi="Times New Roman" w:cs="Times New Roman"/>
          <w:i/>
          <w:sz w:val="18"/>
        </w:rPr>
        <w:t>Framework for Cultural Statistics</w:t>
      </w:r>
      <w:r>
        <w:rPr>
          <w:rFonts w:ascii="Times New Roman" w:hAnsi="Times New Roman" w:cs="Times New Roman"/>
          <w:i/>
          <w:sz w:val="18"/>
        </w:rPr>
        <w:t xml:space="preserve">, </w:t>
      </w:r>
      <w:r w:rsidRPr="00203324">
        <w:rPr>
          <w:rFonts w:ascii="Times New Roman" w:hAnsi="Times New Roman" w:cs="Times New Roman"/>
          <w:i/>
          <w:sz w:val="18"/>
        </w:rPr>
        <w:t>UNESCO Institute for Statistics</w:t>
      </w:r>
      <w:r>
        <w:rPr>
          <w:rFonts w:ascii="Times New Roman" w:hAnsi="Times New Roman" w:cs="Times New Roman"/>
          <w:i/>
          <w:sz w:val="18"/>
        </w:rPr>
        <w:t>,</w:t>
      </w:r>
      <w:r w:rsidRPr="00203324">
        <w:rPr>
          <w:rFonts w:ascii="Times New Roman" w:hAnsi="Times New Roman" w:cs="Times New Roman"/>
          <w:i/>
          <w:sz w:val="18"/>
        </w:rPr>
        <w:t xml:space="preserve"> </w:t>
      </w:r>
      <w:r>
        <w:rPr>
          <w:rFonts w:ascii="Times New Roman" w:hAnsi="Times New Roman" w:cs="Times New Roman"/>
          <w:i/>
          <w:sz w:val="18"/>
        </w:rPr>
        <w:t xml:space="preserve">2009, </w:t>
      </w:r>
      <w:r w:rsidRPr="00203324">
        <w:rPr>
          <w:rFonts w:ascii="Times New Roman" w:hAnsi="Times New Roman" w:cs="Times New Roman"/>
          <w:i/>
          <w:sz w:val="18"/>
        </w:rPr>
        <w:t>ISBN 978-92-9189-075-0</w:t>
      </w:r>
      <w:r>
        <w:rPr>
          <w:rFonts w:ascii="Times New Roman" w:hAnsi="Times New Roman" w:cs="Times New Roman"/>
          <w:i/>
          <w:sz w:val="18"/>
        </w:rPr>
        <w:t>.</w:t>
      </w:r>
      <w:proofErr w:type="gramEnd"/>
      <w:r>
        <w:rPr>
          <w:rFonts w:ascii="Times New Roman" w:hAnsi="Times New Roman" w:cs="Times New Roman"/>
          <w:i/>
          <w:sz w:val="18"/>
        </w:rPr>
        <w:t xml:space="preserve"> </w:t>
      </w:r>
      <w:hyperlink r:id="rId2" w:history="1">
        <w:r w:rsidRPr="0001238D">
          <w:rPr>
            <w:rStyle w:val="Hyperlink"/>
            <w:rFonts w:ascii="Times New Roman" w:hAnsi="Times New Roman" w:cs="Times New Roman"/>
            <w:i/>
            <w:sz w:val="18"/>
          </w:rPr>
          <w:t>http://www.uis.unesco.org/culture/Pages/framework-cultural-statistics.aspx</w:t>
        </w:r>
      </w:hyperlink>
      <w:r>
        <w:rPr>
          <w:rFonts w:ascii="Times New Roman" w:hAnsi="Times New Roman" w:cs="Times New Roman"/>
          <w:i/>
          <w:sz w:val="18"/>
        </w:rPr>
        <w:t xml:space="preserve">  </w:t>
      </w:r>
    </w:p>
  </w:footnote>
  <w:footnote w:id="3">
    <w:p w:rsidR="00375286" w:rsidRPr="00375286" w:rsidRDefault="00375286">
      <w:pPr>
        <w:pStyle w:val="FootnoteText"/>
        <w:rPr>
          <w:rFonts w:ascii="Times New Roman" w:hAnsi="Times New Roman" w:cs="Times New Roman"/>
          <w:i/>
          <w:sz w:val="18"/>
        </w:rPr>
      </w:pPr>
      <w:r w:rsidRPr="00375286">
        <w:rPr>
          <w:rStyle w:val="FootnoteReference"/>
          <w:rFonts w:ascii="Times New Roman" w:hAnsi="Times New Roman" w:cs="Times New Roman"/>
          <w:i/>
          <w:sz w:val="18"/>
        </w:rPr>
        <w:footnoteRef/>
      </w:r>
      <w:r w:rsidRPr="00375286">
        <w:rPr>
          <w:rFonts w:ascii="Times New Roman" w:hAnsi="Times New Roman" w:cs="Times New Roman"/>
          <w:i/>
          <w:sz w:val="18"/>
        </w:rPr>
        <w:t xml:space="preserve"> Available for download from </w:t>
      </w:r>
      <w:hyperlink r:id="rId3" w:history="1">
        <w:r w:rsidRPr="00375286">
          <w:rPr>
            <w:rStyle w:val="Hyperlink"/>
            <w:rFonts w:ascii="Times New Roman" w:hAnsi="Times New Roman" w:cs="Times New Roman"/>
            <w:i/>
            <w:sz w:val="18"/>
          </w:rPr>
          <w:t>http://www.vnso.gov.vu/</w:t>
        </w:r>
      </w:hyperlink>
      <w:r w:rsidRPr="00375286">
        <w:rPr>
          <w:rFonts w:ascii="Times New Roman" w:hAnsi="Times New Roman" w:cs="Times New Roman"/>
          <w:i/>
          <w:sz w:val="18"/>
        </w:rPr>
        <w:t xml:space="preserve"> </w:t>
      </w:r>
    </w:p>
  </w:footnote>
  <w:footnote w:id="4">
    <w:p w:rsidR="00E702F5" w:rsidRPr="00E702F5" w:rsidRDefault="00E702F5">
      <w:pPr>
        <w:pStyle w:val="FootnoteText"/>
        <w:rPr>
          <w:rFonts w:ascii="Times New Roman" w:hAnsi="Times New Roman" w:cs="Times New Roman"/>
          <w:i/>
          <w:sz w:val="18"/>
        </w:rPr>
      </w:pPr>
      <w:r w:rsidRPr="00E702F5">
        <w:rPr>
          <w:rStyle w:val="FootnoteReference"/>
          <w:rFonts w:ascii="Times New Roman" w:hAnsi="Times New Roman" w:cs="Times New Roman"/>
          <w:i/>
          <w:sz w:val="18"/>
        </w:rPr>
        <w:footnoteRef/>
      </w:r>
      <w:r w:rsidRPr="00E702F5">
        <w:rPr>
          <w:rFonts w:ascii="Times New Roman" w:hAnsi="Times New Roman" w:cs="Times New Roman"/>
          <w:i/>
          <w:sz w:val="18"/>
        </w:rPr>
        <w:t xml:space="preserve"> The Commonwealth Youth Development Index (</w:t>
      </w:r>
      <w:proofErr w:type="spellStart"/>
      <w:r w:rsidRPr="00E702F5">
        <w:rPr>
          <w:rFonts w:ascii="Times New Roman" w:hAnsi="Times New Roman" w:cs="Times New Roman"/>
          <w:i/>
          <w:sz w:val="18"/>
        </w:rPr>
        <w:t>YDI</w:t>
      </w:r>
      <w:proofErr w:type="spellEnd"/>
      <w:r w:rsidRPr="00E702F5">
        <w:rPr>
          <w:rFonts w:ascii="Times New Roman" w:hAnsi="Times New Roman" w:cs="Times New Roman"/>
          <w:i/>
          <w:sz w:val="18"/>
        </w:rPr>
        <w:t xml:space="preserve">) is available at </w:t>
      </w:r>
      <w:hyperlink r:id="rId4" w:anchor="OVER" w:history="1">
        <w:r w:rsidRPr="00984D14">
          <w:rPr>
            <w:rStyle w:val="Hyperlink"/>
            <w:rFonts w:ascii="Times New Roman" w:hAnsi="Times New Roman" w:cs="Times New Roman"/>
            <w:i/>
            <w:sz w:val="18"/>
          </w:rPr>
          <w:t>http://youthdevelopmentindex.org/views/index.php#OVER</w:t>
        </w:r>
      </w:hyperlink>
      <w:r>
        <w:rPr>
          <w:rFonts w:ascii="Times New Roman" w:hAnsi="Times New Roman" w:cs="Times New Roman"/>
          <w:i/>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68" w:rsidRPr="0086503D" w:rsidRDefault="003F5068" w:rsidP="003F5068">
    <w:pPr>
      <w:pStyle w:val="NoSpacing"/>
      <w:rPr>
        <w:rFonts w:ascii="Times New Roman" w:hAnsi="Times New Roman" w:cs="Times New Roman"/>
        <w:sz w:val="20"/>
      </w:rPr>
    </w:pPr>
    <w:r w:rsidRPr="0086503D">
      <w:rPr>
        <w:rFonts w:ascii="Times New Roman" w:hAnsi="Times New Roman" w:cs="Times New Roman"/>
        <w:sz w:val="20"/>
      </w:rPr>
      <w:t xml:space="preserve">Pacific 2020 Census Round Planning Meeting/Working Paper </w:t>
    </w:r>
    <w:proofErr w:type="spellStart"/>
    <w:r w:rsidRPr="0086503D">
      <w:rPr>
        <w:rFonts w:ascii="Times New Roman" w:hAnsi="Times New Roman" w:cs="Times New Roman"/>
        <w:sz w:val="20"/>
      </w:rPr>
      <w:t>4bi</w:t>
    </w:r>
    <w:proofErr w:type="spellEnd"/>
  </w:p>
  <w:p w:rsidR="003F5068" w:rsidRPr="0086503D" w:rsidRDefault="003F5068" w:rsidP="003F5068">
    <w:pPr>
      <w:pStyle w:val="NoSpacing"/>
      <w:rPr>
        <w:rFonts w:ascii="Times New Roman" w:hAnsi="Times New Roman" w:cs="Times New Roman"/>
        <w:sz w:val="20"/>
      </w:rPr>
    </w:pPr>
    <w:r w:rsidRPr="0086503D">
      <w:rPr>
        <w:rFonts w:ascii="Times New Roman" w:hAnsi="Times New Roman" w:cs="Times New Roman"/>
        <w:sz w:val="20"/>
      </w:rPr>
      <w:t xml:space="preserve">Page </w:t>
    </w:r>
    <w:r w:rsidRPr="0086503D">
      <w:rPr>
        <w:rFonts w:ascii="Times New Roman" w:hAnsi="Times New Roman" w:cs="Times New Roman"/>
        <w:b/>
        <w:sz w:val="20"/>
      </w:rPr>
      <w:fldChar w:fldCharType="begin"/>
    </w:r>
    <w:r w:rsidRPr="0086503D">
      <w:rPr>
        <w:rFonts w:ascii="Times New Roman" w:hAnsi="Times New Roman" w:cs="Times New Roman"/>
        <w:b/>
        <w:sz w:val="20"/>
      </w:rPr>
      <w:instrText xml:space="preserve"> PAGE  \* Arabic  \* MERGEFORMAT </w:instrText>
    </w:r>
    <w:r w:rsidRPr="0086503D">
      <w:rPr>
        <w:rFonts w:ascii="Times New Roman" w:hAnsi="Times New Roman" w:cs="Times New Roman"/>
        <w:b/>
        <w:sz w:val="20"/>
      </w:rPr>
      <w:fldChar w:fldCharType="separate"/>
    </w:r>
    <w:r w:rsidR="00683B46">
      <w:rPr>
        <w:rFonts w:ascii="Times New Roman" w:hAnsi="Times New Roman" w:cs="Times New Roman"/>
        <w:b/>
        <w:noProof/>
        <w:sz w:val="20"/>
      </w:rPr>
      <w:t>6</w:t>
    </w:r>
    <w:r w:rsidRPr="0086503D">
      <w:rPr>
        <w:rFonts w:ascii="Times New Roman" w:hAnsi="Times New Roman" w:cs="Times New Roman"/>
        <w:b/>
        <w:sz w:val="20"/>
      </w:rPr>
      <w:fldChar w:fldCharType="end"/>
    </w:r>
    <w:r w:rsidRPr="0086503D">
      <w:rPr>
        <w:rFonts w:ascii="Times New Roman" w:hAnsi="Times New Roman" w:cs="Times New Roman"/>
        <w:sz w:val="20"/>
      </w:rPr>
      <w:t xml:space="preserve"> of </w:t>
    </w:r>
    <w:r w:rsidRPr="0086503D">
      <w:rPr>
        <w:rFonts w:ascii="Times New Roman" w:hAnsi="Times New Roman" w:cs="Times New Roman"/>
        <w:b/>
        <w:sz w:val="20"/>
      </w:rPr>
      <w:fldChar w:fldCharType="begin"/>
    </w:r>
    <w:r w:rsidRPr="0086503D">
      <w:rPr>
        <w:rFonts w:ascii="Times New Roman" w:hAnsi="Times New Roman" w:cs="Times New Roman"/>
        <w:b/>
        <w:sz w:val="20"/>
      </w:rPr>
      <w:instrText xml:space="preserve"> NUMPAGES  \* Arabic  \* MERGEFORMAT </w:instrText>
    </w:r>
    <w:r w:rsidRPr="0086503D">
      <w:rPr>
        <w:rFonts w:ascii="Times New Roman" w:hAnsi="Times New Roman" w:cs="Times New Roman"/>
        <w:b/>
        <w:sz w:val="20"/>
      </w:rPr>
      <w:fldChar w:fldCharType="separate"/>
    </w:r>
    <w:r w:rsidR="00683B46">
      <w:rPr>
        <w:rFonts w:ascii="Times New Roman" w:hAnsi="Times New Roman" w:cs="Times New Roman"/>
        <w:b/>
        <w:noProof/>
        <w:sz w:val="20"/>
      </w:rPr>
      <w:t>8</w:t>
    </w:r>
    <w:r w:rsidRPr="0086503D">
      <w:rPr>
        <w:rFonts w:ascii="Times New Roman" w:hAnsi="Times New Roman" w:cs="Times New Roman"/>
        <w:b/>
        <w:sz w:val="20"/>
      </w:rPr>
      <w:fldChar w:fldCharType="end"/>
    </w:r>
  </w:p>
  <w:p w:rsidR="003F5068" w:rsidRPr="0086503D" w:rsidRDefault="003F5068">
    <w:pPr>
      <w:pStyle w:val="Head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03D" w:rsidRPr="0086503D" w:rsidRDefault="0086503D" w:rsidP="0086503D">
    <w:pPr>
      <w:pStyle w:val="NoSpacing"/>
      <w:jc w:val="right"/>
      <w:rPr>
        <w:rFonts w:ascii="Times New Roman" w:hAnsi="Times New Roman" w:cs="Times New Roman"/>
        <w:sz w:val="20"/>
      </w:rPr>
    </w:pPr>
    <w:r w:rsidRPr="0086503D">
      <w:rPr>
        <w:rFonts w:ascii="Times New Roman" w:hAnsi="Times New Roman" w:cs="Times New Roman"/>
        <w:sz w:val="20"/>
      </w:rPr>
      <w:t xml:space="preserve">Pacific 2020 Census Round Planning Meeting/Working Paper </w:t>
    </w:r>
    <w:proofErr w:type="spellStart"/>
    <w:r w:rsidRPr="0086503D">
      <w:rPr>
        <w:rFonts w:ascii="Times New Roman" w:hAnsi="Times New Roman" w:cs="Times New Roman"/>
        <w:sz w:val="20"/>
      </w:rPr>
      <w:t>4bi</w:t>
    </w:r>
    <w:proofErr w:type="spellEnd"/>
  </w:p>
  <w:p w:rsidR="0086503D" w:rsidRPr="0086503D" w:rsidRDefault="0086503D" w:rsidP="0086503D">
    <w:pPr>
      <w:pStyle w:val="NoSpacing"/>
      <w:jc w:val="right"/>
      <w:rPr>
        <w:rFonts w:ascii="Times New Roman" w:hAnsi="Times New Roman" w:cs="Times New Roman"/>
        <w:sz w:val="20"/>
      </w:rPr>
    </w:pPr>
    <w:r w:rsidRPr="0086503D">
      <w:rPr>
        <w:rFonts w:ascii="Times New Roman" w:hAnsi="Times New Roman" w:cs="Times New Roman"/>
        <w:sz w:val="20"/>
      </w:rPr>
      <w:t xml:space="preserve">Page </w:t>
    </w:r>
    <w:r w:rsidRPr="0086503D">
      <w:rPr>
        <w:rFonts w:ascii="Times New Roman" w:hAnsi="Times New Roman" w:cs="Times New Roman"/>
        <w:b/>
        <w:sz w:val="20"/>
      </w:rPr>
      <w:fldChar w:fldCharType="begin"/>
    </w:r>
    <w:r w:rsidRPr="0086503D">
      <w:rPr>
        <w:rFonts w:ascii="Times New Roman" w:hAnsi="Times New Roman" w:cs="Times New Roman"/>
        <w:b/>
        <w:sz w:val="20"/>
      </w:rPr>
      <w:instrText xml:space="preserve"> PAGE  \* Arabic  \* MERGEFORMAT </w:instrText>
    </w:r>
    <w:r w:rsidRPr="0086503D">
      <w:rPr>
        <w:rFonts w:ascii="Times New Roman" w:hAnsi="Times New Roman" w:cs="Times New Roman"/>
        <w:b/>
        <w:sz w:val="20"/>
      </w:rPr>
      <w:fldChar w:fldCharType="separate"/>
    </w:r>
    <w:r w:rsidR="00683B46">
      <w:rPr>
        <w:rFonts w:ascii="Times New Roman" w:hAnsi="Times New Roman" w:cs="Times New Roman"/>
        <w:b/>
        <w:noProof/>
        <w:sz w:val="20"/>
      </w:rPr>
      <w:t>3</w:t>
    </w:r>
    <w:r w:rsidRPr="0086503D">
      <w:rPr>
        <w:rFonts w:ascii="Times New Roman" w:hAnsi="Times New Roman" w:cs="Times New Roman"/>
        <w:b/>
        <w:sz w:val="20"/>
      </w:rPr>
      <w:fldChar w:fldCharType="end"/>
    </w:r>
    <w:r w:rsidRPr="0086503D">
      <w:rPr>
        <w:rFonts w:ascii="Times New Roman" w:hAnsi="Times New Roman" w:cs="Times New Roman"/>
        <w:sz w:val="20"/>
      </w:rPr>
      <w:t xml:space="preserve"> of </w:t>
    </w:r>
    <w:r w:rsidRPr="0086503D">
      <w:rPr>
        <w:rFonts w:ascii="Times New Roman" w:hAnsi="Times New Roman" w:cs="Times New Roman"/>
        <w:b/>
        <w:sz w:val="20"/>
      </w:rPr>
      <w:fldChar w:fldCharType="begin"/>
    </w:r>
    <w:r w:rsidRPr="0086503D">
      <w:rPr>
        <w:rFonts w:ascii="Times New Roman" w:hAnsi="Times New Roman" w:cs="Times New Roman"/>
        <w:b/>
        <w:sz w:val="20"/>
      </w:rPr>
      <w:instrText xml:space="preserve"> NUMPAGES  \* Arabic  \* MERGEFORMAT </w:instrText>
    </w:r>
    <w:r w:rsidRPr="0086503D">
      <w:rPr>
        <w:rFonts w:ascii="Times New Roman" w:hAnsi="Times New Roman" w:cs="Times New Roman"/>
        <w:b/>
        <w:sz w:val="20"/>
      </w:rPr>
      <w:fldChar w:fldCharType="separate"/>
    </w:r>
    <w:r w:rsidR="00683B46">
      <w:rPr>
        <w:rFonts w:ascii="Times New Roman" w:hAnsi="Times New Roman" w:cs="Times New Roman"/>
        <w:b/>
        <w:noProof/>
        <w:sz w:val="20"/>
      </w:rPr>
      <w:t>8</w:t>
    </w:r>
    <w:r w:rsidRPr="0086503D">
      <w:rPr>
        <w:rFonts w:ascii="Times New Roman" w:hAnsi="Times New Roman" w:cs="Times New Roman"/>
        <w:b/>
        <w:sz w:val="20"/>
      </w:rPr>
      <w:fldChar w:fldCharType="end"/>
    </w:r>
  </w:p>
  <w:p w:rsidR="00C449D2" w:rsidRPr="0086503D" w:rsidRDefault="00C449D2" w:rsidP="0086503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000"/>
    <w:multiLevelType w:val="hybridMultilevel"/>
    <w:tmpl w:val="DF2C4FCE"/>
    <w:lvl w:ilvl="0" w:tplc="F648AEF2">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2ED38B7"/>
    <w:multiLevelType w:val="multilevel"/>
    <w:tmpl w:val="1A767404"/>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3FE7BA8"/>
    <w:multiLevelType w:val="multilevel"/>
    <w:tmpl w:val="4F3AD1C4"/>
    <w:lvl w:ilvl="0">
      <w:start w:val="1"/>
      <w:numFmt w:val="decimal"/>
      <w:lvlText w:val="%1."/>
      <w:lvlJc w:val="left"/>
      <w:pPr>
        <w:ind w:left="360" w:hanging="360"/>
      </w:p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CAD2718"/>
    <w:multiLevelType w:val="hybridMultilevel"/>
    <w:tmpl w:val="09A2D9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33C424C"/>
    <w:multiLevelType w:val="hybridMultilevel"/>
    <w:tmpl w:val="2E2EF2A4"/>
    <w:lvl w:ilvl="0" w:tplc="B79A0D3A">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27A0ED6"/>
    <w:multiLevelType w:val="hybridMultilevel"/>
    <w:tmpl w:val="B2DC39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C7F66D8"/>
    <w:multiLevelType w:val="hybridMultilevel"/>
    <w:tmpl w:val="6B109C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
  </w:num>
  <w:num w:numId="5">
    <w:abstractNumId w:val="5"/>
  </w:num>
  <w:num w:numId="6">
    <w:abstractNumId w:val="6"/>
  </w:num>
  <w:num w:numId="7">
    <w:abstractNumId w:val="1"/>
  </w:num>
  <w:num w:numId="8">
    <w:abstractNumId w:val="3"/>
  </w:num>
  <w:num w:numId="9">
    <w:abstractNumId w:val="4"/>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9D2"/>
    <w:rsid w:val="000416A0"/>
    <w:rsid w:val="00124168"/>
    <w:rsid w:val="00175D15"/>
    <w:rsid w:val="00203324"/>
    <w:rsid w:val="00204CF5"/>
    <w:rsid w:val="00237FC6"/>
    <w:rsid w:val="002A1314"/>
    <w:rsid w:val="002D0510"/>
    <w:rsid w:val="002D6AB2"/>
    <w:rsid w:val="003332FB"/>
    <w:rsid w:val="0036300C"/>
    <w:rsid w:val="003671DB"/>
    <w:rsid w:val="00375286"/>
    <w:rsid w:val="00375349"/>
    <w:rsid w:val="003F5068"/>
    <w:rsid w:val="004221AE"/>
    <w:rsid w:val="0044718D"/>
    <w:rsid w:val="004F5F45"/>
    <w:rsid w:val="00614BA8"/>
    <w:rsid w:val="006311E2"/>
    <w:rsid w:val="00683B46"/>
    <w:rsid w:val="006A4AA5"/>
    <w:rsid w:val="00777D76"/>
    <w:rsid w:val="007B781C"/>
    <w:rsid w:val="007C5A4B"/>
    <w:rsid w:val="007D67D0"/>
    <w:rsid w:val="008533B2"/>
    <w:rsid w:val="0086503D"/>
    <w:rsid w:val="008C1E23"/>
    <w:rsid w:val="00916AB2"/>
    <w:rsid w:val="00933AE8"/>
    <w:rsid w:val="00964198"/>
    <w:rsid w:val="00996440"/>
    <w:rsid w:val="009C1785"/>
    <w:rsid w:val="009F157A"/>
    <w:rsid w:val="00A22C9D"/>
    <w:rsid w:val="00A617EC"/>
    <w:rsid w:val="00A71342"/>
    <w:rsid w:val="00AA338C"/>
    <w:rsid w:val="00AE2B08"/>
    <w:rsid w:val="00BD4248"/>
    <w:rsid w:val="00BE73AF"/>
    <w:rsid w:val="00BE7F41"/>
    <w:rsid w:val="00BF4F48"/>
    <w:rsid w:val="00C24BA1"/>
    <w:rsid w:val="00C449D2"/>
    <w:rsid w:val="00C5212B"/>
    <w:rsid w:val="00C82F85"/>
    <w:rsid w:val="00C9173A"/>
    <w:rsid w:val="00C91DE5"/>
    <w:rsid w:val="00CC0821"/>
    <w:rsid w:val="00D84C5D"/>
    <w:rsid w:val="00DC2909"/>
    <w:rsid w:val="00E702F5"/>
    <w:rsid w:val="00F2131B"/>
    <w:rsid w:val="00FB14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rmal"/>
    <w:link w:val="Heading1Char"/>
    <w:uiPriority w:val="9"/>
    <w:qFormat/>
    <w:rsid w:val="007C5A4B"/>
    <w:pPr>
      <w:numPr>
        <w:numId w:val="2"/>
      </w:numPr>
      <w:spacing w:before="120" w:after="60"/>
      <w:outlineLvl w:val="0"/>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49D2"/>
    <w:pPr>
      <w:spacing w:after="0" w:line="240" w:lineRule="auto"/>
    </w:pPr>
  </w:style>
  <w:style w:type="paragraph" w:styleId="Header">
    <w:name w:val="header"/>
    <w:basedOn w:val="Normal"/>
    <w:link w:val="HeaderChar"/>
    <w:uiPriority w:val="99"/>
    <w:unhideWhenUsed/>
    <w:rsid w:val="00C44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9D2"/>
  </w:style>
  <w:style w:type="paragraph" w:styleId="Footer">
    <w:name w:val="footer"/>
    <w:basedOn w:val="Normal"/>
    <w:link w:val="FooterChar"/>
    <w:uiPriority w:val="99"/>
    <w:unhideWhenUsed/>
    <w:rsid w:val="00C44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9D2"/>
  </w:style>
  <w:style w:type="paragraph" w:styleId="BalloonText">
    <w:name w:val="Balloon Text"/>
    <w:basedOn w:val="Normal"/>
    <w:link w:val="BalloonTextChar"/>
    <w:uiPriority w:val="99"/>
    <w:semiHidden/>
    <w:unhideWhenUsed/>
    <w:rsid w:val="00C44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9D2"/>
    <w:rPr>
      <w:rFonts w:ascii="Tahoma" w:hAnsi="Tahoma" w:cs="Tahoma"/>
      <w:sz w:val="16"/>
      <w:szCs w:val="16"/>
    </w:rPr>
  </w:style>
  <w:style w:type="character" w:customStyle="1" w:styleId="apple-converted-space">
    <w:name w:val="apple-converted-space"/>
    <w:basedOn w:val="DefaultParagraphFont"/>
    <w:rsid w:val="00237FC6"/>
  </w:style>
  <w:style w:type="character" w:styleId="Hyperlink">
    <w:name w:val="Hyperlink"/>
    <w:basedOn w:val="DefaultParagraphFont"/>
    <w:uiPriority w:val="99"/>
    <w:unhideWhenUsed/>
    <w:rsid w:val="00237FC6"/>
    <w:rPr>
      <w:color w:val="0000FF"/>
      <w:u w:val="single"/>
    </w:rPr>
  </w:style>
  <w:style w:type="paragraph" w:customStyle="1" w:styleId="Default">
    <w:name w:val="Default"/>
    <w:rsid w:val="00204CF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7C5A4B"/>
    <w:rPr>
      <w:rFonts w:ascii="Times New Roman" w:hAnsi="Times New Roman" w:cs="Times New Roman"/>
      <w:b/>
    </w:rPr>
  </w:style>
  <w:style w:type="paragraph" w:styleId="FootnoteText">
    <w:name w:val="footnote text"/>
    <w:basedOn w:val="Normal"/>
    <w:link w:val="FootnoteTextChar"/>
    <w:uiPriority w:val="99"/>
    <w:semiHidden/>
    <w:unhideWhenUsed/>
    <w:rsid w:val="00DC29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2909"/>
    <w:rPr>
      <w:sz w:val="20"/>
      <w:szCs w:val="20"/>
    </w:rPr>
  </w:style>
  <w:style w:type="character" w:styleId="FootnoteReference">
    <w:name w:val="footnote reference"/>
    <w:basedOn w:val="DefaultParagraphFont"/>
    <w:uiPriority w:val="99"/>
    <w:semiHidden/>
    <w:unhideWhenUsed/>
    <w:rsid w:val="00DC2909"/>
    <w:rPr>
      <w:vertAlign w:val="superscript"/>
    </w:rPr>
  </w:style>
  <w:style w:type="paragraph" w:styleId="ListParagraph">
    <w:name w:val="List Paragraph"/>
    <w:basedOn w:val="Normal"/>
    <w:uiPriority w:val="34"/>
    <w:qFormat/>
    <w:rsid w:val="00AE2B08"/>
    <w:pPr>
      <w:ind w:left="720"/>
      <w:contextualSpacing/>
    </w:pPr>
  </w:style>
  <w:style w:type="table" w:styleId="TableGrid">
    <w:name w:val="Table Grid"/>
    <w:basedOn w:val="TableNormal"/>
    <w:uiPriority w:val="59"/>
    <w:rsid w:val="0063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rmal"/>
    <w:link w:val="Heading1Char"/>
    <w:uiPriority w:val="9"/>
    <w:qFormat/>
    <w:rsid w:val="007C5A4B"/>
    <w:pPr>
      <w:numPr>
        <w:numId w:val="2"/>
      </w:numPr>
      <w:spacing w:before="120" w:after="60"/>
      <w:outlineLvl w:val="0"/>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49D2"/>
    <w:pPr>
      <w:spacing w:after="0" w:line="240" w:lineRule="auto"/>
    </w:pPr>
  </w:style>
  <w:style w:type="paragraph" w:styleId="Header">
    <w:name w:val="header"/>
    <w:basedOn w:val="Normal"/>
    <w:link w:val="HeaderChar"/>
    <w:uiPriority w:val="99"/>
    <w:unhideWhenUsed/>
    <w:rsid w:val="00C44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9D2"/>
  </w:style>
  <w:style w:type="paragraph" w:styleId="Footer">
    <w:name w:val="footer"/>
    <w:basedOn w:val="Normal"/>
    <w:link w:val="FooterChar"/>
    <w:uiPriority w:val="99"/>
    <w:unhideWhenUsed/>
    <w:rsid w:val="00C44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9D2"/>
  </w:style>
  <w:style w:type="paragraph" w:styleId="BalloonText">
    <w:name w:val="Balloon Text"/>
    <w:basedOn w:val="Normal"/>
    <w:link w:val="BalloonTextChar"/>
    <w:uiPriority w:val="99"/>
    <w:semiHidden/>
    <w:unhideWhenUsed/>
    <w:rsid w:val="00C44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9D2"/>
    <w:rPr>
      <w:rFonts w:ascii="Tahoma" w:hAnsi="Tahoma" w:cs="Tahoma"/>
      <w:sz w:val="16"/>
      <w:szCs w:val="16"/>
    </w:rPr>
  </w:style>
  <w:style w:type="character" w:customStyle="1" w:styleId="apple-converted-space">
    <w:name w:val="apple-converted-space"/>
    <w:basedOn w:val="DefaultParagraphFont"/>
    <w:rsid w:val="00237FC6"/>
  </w:style>
  <w:style w:type="character" w:styleId="Hyperlink">
    <w:name w:val="Hyperlink"/>
    <w:basedOn w:val="DefaultParagraphFont"/>
    <w:uiPriority w:val="99"/>
    <w:unhideWhenUsed/>
    <w:rsid w:val="00237FC6"/>
    <w:rPr>
      <w:color w:val="0000FF"/>
      <w:u w:val="single"/>
    </w:rPr>
  </w:style>
  <w:style w:type="paragraph" w:customStyle="1" w:styleId="Default">
    <w:name w:val="Default"/>
    <w:rsid w:val="00204CF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7C5A4B"/>
    <w:rPr>
      <w:rFonts w:ascii="Times New Roman" w:hAnsi="Times New Roman" w:cs="Times New Roman"/>
      <w:b/>
    </w:rPr>
  </w:style>
  <w:style w:type="paragraph" w:styleId="FootnoteText">
    <w:name w:val="footnote text"/>
    <w:basedOn w:val="Normal"/>
    <w:link w:val="FootnoteTextChar"/>
    <w:uiPriority w:val="99"/>
    <w:semiHidden/>
    <w:unhideWhenUsed/>
    <w:rsid w:val="00DC29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2909"/>
    <w:rPr>
      <w:sz w:val="20"/>
      <w:szCs w:val="20"/>
    </w:rPr>
  </w:style>
  <w:style w:type="character" w:styleId="FootnoteReference">
    <w:name w:val="footnote reference"/>
    <w:basedOn w:val="DefaultParagraphFont"/>
    <w:uiPriority w:val="99"/>
    <w:semiHidden/>
    <w:unhideWhenUsed/>
    <w:rsid w:val="00DC2909"/>
    <w:rPr>
      <w:vertAlign w:val="superscript"/>
    </w:rPr>
  </w:style>
  <w:style w:type="paragraph" w:styleId="ListParagraph">
    <w:name w:val="List Paragraph"/>
    <w:basedOn w:val="Normal"/>
    <w:uiPriority w:val="34"/>
    <w:qFormat/>
    <w:rsid w:val="00AE2B08"/>
    <w:pPr>
      <w:ind w:left="720"/>
      <w:contextualSpacing/>
    </w:pPr>
  </w:style>
  <w:style w:type="table" w:styleId="TableGrid">
    <w:name w:val="Table Grid"/>
    <w:basedOn w:val="TableNormal"/>
    <w:uiPriority w:val="59"/>
    <w:rsid w:val="0063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8962">
      <w:bodyDiv w:val="1"/>
      <w:marLeft w:val="0"/>
      <w:marRight w:val="0"/>
      <w:marTop w:val="0"/>
      <w:marBottom w:val="0"/>
      <w:divBdr>
        <w:top w:val="none" w:sz="0" w:space="0" w:color="auto"/>
        <w:left w:val="none" w:sz="0" w:space="0" w:color="auto"/>
        <w:bottom w:val="none" w:sz="0" w:space="0" w:color="auto"/>
        <w:right w:val="none" w:sz="0" w:space="0" w:color="auto"/>
      </w:divBdr>
    </w:div>
    <w:div w:id="537856383">
      <w:bodyDiv w:val="1"/>
      <w:marLeft w:val="0"/>
      <w:marRight w:val="0"/>
      <w:marTop w:val="0"/>
      <w:marBottom w:val="0"/>
      <w:divBdr>
        <w:top w:val="none" w:sz="0" w:space="0" w:color="auto"/>
        <w:left w:val="none" w:sz="0" w:space="0" w:color="auto"/>
        <w:bottom w:val="none" w:sz="0" w:space="0" w:color="auto"/>
        <w:right w:val="none" w:sz="0" w:space="0" w:color="auto"/>
      </w:divBdr>
    </w:div>
    <w:div w:id="562789444">
      <w:bodyDiv w:val="1"/>
      <w:marLeft w:val="0"/>
      <w:marRight w:val="0"/>
      <w:marTop w:val="0"/>
      <w:marBottom w:val="0"/>
      <w:divBdr>
        <w:top w:val="none" w:sz="0" w:space="0" w:color="auto"/>
        <w:left w:val="none" w:sz="0" w:space="0" w:color="auto"/>
        <w:bottom w:val="none" w:sz="0" w:space="0" w:color="auto"/>
        <w:right w:val="none" w:sz="0" w:space="0" w:color="auto"/>
      </w:divBdr>
    </w:div>
    <w:div w:id="1088766769">
      <w:bodyDiv w:val="1"/>
      <w:marLeft w:val="0"/>
      <w:marRight w:val="0"/>
      <w:marTop w:val="0"/>
      <w:marBottom w:val="0"/>
      <w:divBdr>
        <w:top w:val="none" w:sz="0" w:space="0" w:color="auto"/>
        <w:left w:val="none" w:sz="0" w:space="0" w:color="auto"/>
        <w:bottom w:val="none" w:sz="0" w:space="0" w:color="auto"/>
        <w:right w:val="none" w:sz="0" w:space="0" w:color="auto"/>
      </w:divBdr>
    </w:div>
    <w:div w:id="1350835536">
      <w:bodyDiv w:val="1"/>
      <w:marLeft w:val="0"/>
      <w:marRight w:val="0"/>
      <w:marTop w:val="0"/>
      <w:marBottom w:val="0"/>
      <w:divBdr>
        <w:top w:val="none" w:sz="0" w:space="0" w:color="auto"/>
        <w:left w:val="none" w:sz="0" w:space="0" w:color="auto"/>
        <w:bottom w:val="none" w:sz="0" w:space="0" w:color="auto"/>
        <w:right w:val="none" w:sz="0" w:space="0" w:color="auto"/>
      </w:divBdr>
    </w:div>
    <w:div w:id="1358193124">
      <w:bodyDiv w:val="1"/>
      <w:marLeft w:val="0"/>
      <w:marRight w:val="0"/>
      <w:marTop w:val="0"/>
      <w:marBottom w:val="0"/>
      <w:divBdr>
        <w:top w:val="none" w:sz="0" w:space="0" w:color="auto"/>
        <w:left w:val="none" w:sz="0" w:space="0" w:color="auto"/>
        <w:bottom w:val="none" w:sz="0" w:space="0" w:color="auto"/>
        <w:right w:val="none" w:sz="0" w:space="0" w:color="auto"/>
      </w:divBdr>
    </w:div>
    <w:div w:id="1514681213">
      <w:bodyDiv w:val="1"/>
      <w:marLeft w:val="0"/>
      <w:marRight w:val="0"/>
      <w:marTop w:val="0"/>
      <w:marBottom w:val="0"/>
      <w:divBdr>
        <w:top w:val="none" w:sz="0" w:space="0" w:color="auto"/>
        <w:left w:val="none" w:sz="0" w:space="0" w:color="auto"/>
        <w:bottom w:val="none" w:sz="0" w:space="0" w:color="auto"/>
        <w:right w:val="none" w:sz="0" w:space="0" w:color="auto"/>
      </w:divBdr>
    </w:div>
    <w:div w:id="199355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www.vnso.gov.vu/" TargetMode="External"/><Relationship Id="rId2" Type="http://schemas.openxmlformats.org/officeDocument/2006/relationships/hyperlink" Target="http://www.uis.unesco.org/culture/Pages/framework-cultural-statistics.aspx" TargetMode="External"/><Relationship Id="rId1" Type="http://schemas.openxmlformats.org/officeDocument/2006/relationships/hyperlink" Target="http://www.unfpa.org/publications/methodological-guidelines-gender-analysis-national-population-and-housing-census-data" TargetMode="External"/><Relationship Id="rId4" Type="http://schemas.openxmlformats.org/officeDocument/2006/relationships/hyperlink" Target="http://youthdevelopmentindex.org/view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20BD1-E315-4F5C-A858-AA2B97E91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8</Pages>
  <Words>2773</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18548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philb</dc:creator>
  <cp:keywords/>
  <dc:description/>
  <cp:lastModifiedBy>Kim Robertson</cp:lastModifiedBy>
  <cp:revision>4</cp:revision>
  <cp:lastPrinted>2015-07-23T23:04:00Z</cp:lastPrinted>
  <dcterms:created xsi:type="dcterms:W3CDTF">2015-07-21T01:42:00Z</dcterms:created>
  <dcterms:modified xsi:type="dcterms:W3CDTF">2015-07-23T23:38:00Z</dcterms:modified>
</cp:coreProperties>
</file>